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1F" w:rsidRDefault="003A451F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 w:val="32"/>
          <w:szCs w:val="32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Cs w:val="21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Cs w:val="21"/>
        </w:rPr>
      </w:pPr>
    </w:p>
    <w:p w:rsidR="003A451F" w:rsidRDefault="00BF159F">
      <w:pPr>
        <w:adjustRightInd w:val="0"/>
        <w:snapToGrid w:val="0"/>
        <w:ind w:firstLine="198"/>
        <w:jc w:val="center"/>
        <w:rPr>
          <w:rFonts w:eastAsia="黑体"/>
          <w:sz w:val="52"/>
          <w:szCs w:val="52"/>
        </w:rPr>
      </w:pPr>
      <w:r>
        <w:rPr>
          <w:rFonts w:eastAsia="黑体" w:hAnsi="黑体" w:hint="eastAsia"/>
          <w:sz w:val="52"/>
          <w:szCs w:val="52"/>
        </w:rPr>
        <w:t>中央农办</w:t>
      </w:r>
      <w:r>
        <w:rPr>
          <w:rFonts w:eastAsia="黑体" w:hint="eastAsia"/>
          <w:sz w:val="52"/>
          <w:szCs w:val="52"/>
        </w:rPr>
        <w:t xml:space="preserve"> </w:t>
      </w:r>
      <w:r>
        <w:rPr>
          <w:rFonts w:eastAsia="黑体" w:hAnsi="黑体" w:hint="eastAsia"/>
          <w:sz w:val="52"/>
          <w:szCs w:val="52"/>
        </w:rPr>
        <w:t>农业农村部</w:t>
      </w:r>
    </w:p>
    <w:p w:rsidR="003A451F" w:rsidRDefault="00BF159F">
      <w:pPr>
        <w:adjustRightInd w:val="0"/>
        <w:snapToGrid w:val="0"/>
        <w:ind w:firstLine="198"/>
        <w:jc w:val="center"/>
        <w:rPr>
          <w:rFonts w:eastAsia="黑体"/>
          <w:sz w:val="52"/>
          <w:szCs w:val="52"/>
        </w:rPr>
      </w:pPr>
      <w:r>
        <w:rPr>
          <w:rFonts w:eastAsia="黑体" w:hAnsi="黑体" w:hint="eastAsia"/>
          <w:sz w:val="52"/>
          <w:szCs w:val="52"/>
        </w:rPr>
        <w:t>乡村振兴专家咨询委员会</w:t>
      </w:r>
    </w:p>
    <w:p w:rsidR="003A451F" w:rsidRDefault="003A451F">
      <w:pPr>
        <w:adjustRightInd w:val="0"/>
        <w:snapToGrid w:val="0"/>
        <w:ind w:firstLine="198"/>
        <w:jc w:val="center"/>
        <w:rPr>
          <w:rFonts w:eastAsia="黑体"/>
          <w:w w:val="80"/>
          <w:sz w:val="48"/>
          <w:szCs w:val="48"/>
        </w:rPr>
      </w:pPr>
    </w:p>
    <w:p w:rsidR="003A451F" w:rsidRDefault="00BF159F">
      <w:pPr>
        <w:adjustRightInd w:val="0"/>
        <w:snapToGrid w:val="0"/>
        <w:spacing w:line="360" w:lineRule="auto"/>
        <w:ind w:firstLine="20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软科学</w:t>
      </w:r>
      <w:r>
        <w:rPr>
          <w:b/>
          <w:sz w:val="84"/>
          <w:szCs w:val="84"/>
        </w:rPr>
        <w:t>课题</w:t>
      </w:r>
      <w:r>
        <w:rPr>
          <w:rFonts w:hint="eastAsia"/>
          <w:b/>
          <w:sz w:val="84"/>
          <w:szCs w:val="84"/>
        </w:rPr>
        <w:t>研究目录</w:t>
      </w:r>
    </w:p>
    <w:p w:rsidR="003A451F" w:rsidRDefault="00BF159F">
      <w:pPr>
        <w:adjustRightInd w:val="0"/>
        <w:snapToGrid w:val="0"/>
        <w:spacing w:line="360" w:lineRule="auto"/>
        <w:ind w:firstLine="200"/>
        <w:jc w:val="center"/>
        <w:rPr>
          <w:b/>
          <w:sz w:val="44"/>
        </w:rPr>
      </w:pPr>
      <w:r>
        <w:rPr>
          <w:b/>
          <w:sz w:val="44"/>
        </w:rPr>
        <w:t>（</w:t>
      </w:r>
      <w:r>
        <w:rPr>
          <w:b/>
          <w:sz w:val="48"/>
        </w:rPr>
        <w:t>202</w:t>
      </w:r>
      <w:r>
        <w:rPr>
          <w:rFonts w:hint="eastAsia"/>
          <w:b/>
          <w:sz w:val="48"/>
        </w:rPr>
        <w:t>3</w:t>
      </w:r>
      <w:r>
        <w:rPr>
          <w:b/>
          <w:sz w:val="44"/>
        </w:rPr>
        <w:t>年度）</w:t>
      </w:r>
    </w:p>
    <w:p w:rsidR="003A451F" w:rsidRDefault="003A451F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3A451F">
      <w:pPr>
        <w:adjustRightInd w:val="0"/>
        <w:snapToGrid w:val="0"/>
        <w:spacing w:line="360" w:lineRule="auto"/>
        <w:ind w:firstLine="200"/>
        <w:rPr>
          <w:rFonts w:eastAsia="黑体"/>
          <w:sz w:val="28"/>
        </w:rPr>
      </w:pPr>
    </w:p>
    <w:p w:rsidR="003A451F" w:rsidRDefault="00BF159F">
      <w:pPr>
        <w:adjustRightInd w:val="0"/>
        <w:snapToGrid w:val="0"/>
        <w:spacing w:line="360" w:lineRule="auto"/>
        <w:ind w:firstLine="200"/>
        <w:jc w:val="center"/>
        <w:rPr>
          <w:rFonts w:eastAsia="黑体"/>
          <w:sz w:val="28"/>
        </w:rPr>
      </w:pPr>
      <w:r>
        <w:rPr>
          <w:sz w:val="48"/>
        </w:rPr>
        <w:t>20</w:t>
      </w:r>
      <w:r>
        <w:rPr>
          <w:rFonts w:hint="eastAsia"/>
          <w:sz w:val="48"/>
        </w:rPr>
        <w:t>2</w:t>
      </w:r>
      <w:r>
        <w:rPr>
          <w:rFonts w:hint="eastAsia"/>
          <w:sz w:val="48"/>
        </w:rPr>
        <w:t>3</w:t>
      </w:r>
      <w:r>
        <w:rPr>
          <w:sz w:val="48"/>
        </w:rPr>
        <w:t>年</w:t>
      </w:r>
      <w:r>
        <w:rPr>
          <w:sz w:val="48"/>
        </w:rPr>
        <w:t>2</w:t>
      </w:r>
      <w:r>
        <w:rPr>
          <w:sz w:val="48"/>
        </w:rPr>
        <w:t>月</w:t>
      </w:r>
    </w:p>
    <w:p w:rsidR="003A451F" w:rsidRDefault="003A451F">
      <w:pPr>
        <w:adjustRightInd w:val="0"/>
        <w:snapToGrid w:val="0"/>
        <w:spacing w:line="600" w:lineRule="exact"/>
        <w:jc w:val="center"/>
        <w:rPr>
          <w:rFonts w:eastAsia="楷体_GB2312"/>
          <w:b/>
          <w:sz w:val="44"/>
          <w:szCs w:val="44"/>
        </w:rPr>
      </w:pP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楷体_GB2312"/>
          <w:b/>
          <w:sz w:val="32"/>
          <w:szCs w:val="32"/>
        </w:rPr>
      </w:pPr>
      <w:bookmarkStart w:id="0" w:name="_GoBack"/>
      <w:bookmarkEnd w:id="0"/>
      <w:r>
        <w:rPr>
          <w:rFonts w:eastAsia="黑体" w:hAnsi="黑体" w:hint="eastAsia"/>
          <w:sz w:val="32"/>
          <w:szCs w:val="32"/>
        </w:rPr>
        <w:lastRenderedPageBreak/>
        <w:t>一、开放命题</w:t>
      </w:r>
    </w:p>
    <w:p w:rsidR="003A451F" w:rsidRDefault="00BF159F" w:rsidP="00425BC9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</w:t>
      </w:r>
      <w:r>
        <w:rPr>
          <w:rFonts w:eastAsia="楷体_GB2312"/>
          <w:b/>
          <w:sz w:val="32"/>
          <w:szCs w:val="32"/>
        </w:rPr>
        <w:t>习近平总书记关于</w:t>
      </w:r>
      <w:r>
        <w:rPr>
          <w:rFonts w:ascii="楷体" w:eastAsia="楷体" w:hAnsi="楷体" w:cs="楷体" w:hint="eastAsia"/>
          <w:b/>
          <w:sz w:val="32"/>
          <w:szCs w:val="32"/>
        </w:rPr>
        <w:t>“三农”</w:t>
      </w:r>
      <w:r>
        <w:rPr>
          <w:rFonts w:eastAsia="楷体_GB2312"/>
          <w:b/>
          <w:sz w:val="32"/>
          <w:szCs w:val="32"/>
        </w:rPr>
        <w:t>工作重要论述的理论</w:t>
      </w:r>
      <w:r>
        <w:rPr>
          <w:rFonts w:eastAsia="楷体_GB2312" w:hint="eastAsia"/>
          <w:b/>
          <w:sz w:val="32"/>
          <w:szCs w:val="32"/>
        </w:rPr>
        <w:t>体系</w:t>
      </w:r>
      <w:r>
        <w:rPr>
          <w:rFonts w:eastAsia="楷体_GB2312"/>
          <w:b/>
          <w:sz w:val="32"/>
          <w:szCs w:val="32"/>
        </w:rPr>
        <w:t>、</w:t>
      </w:r>
      <w:r>
        <w:rPr>
          <w:rFonts w:eastAsia="楷体_GB2312" w:hint="eastAsia"/>
          <w:b/>
          <w:sz w:val="32"/>
          <w:szCs w:val="32"/>
        </w:rPr>
        <w:t>时代</w:t>
      </w:r>
      <w:r>
        <w:rPr>
          <w:rFonts w:eastAsia="楷体_GB2312"/>
          <w:b/>
          <w:sz w:val="32"/>
          <w:szCs w:val="32"/>
        </w:rPr>
        <w:t>特征和实践价值研究</w:t>
      </w:r>
    </w:p>
    <w:p w:rsidR="003A451F" w:rsidRDefault="00BF159F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楷体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</w:t>
      </w:r>
      <w:r>
        <w:rPr>
          <w:rFonts w:eastAsia="仿宋_GB2312"/>
          <w:sz w:val="32"/>
          <w:szCs w:val="32"/>
        </w:rPr>
        <w:t>梳理</w:t>
      </w:r>
      <w:r>
        <w:rPr>
          <w:rFonts w:eastAsia="仿宋_GB2312" w:hint="eastAsia"/>
          <w:sz w:val="32"/>
          <w:szCs w:val="32"/>
        </w:rPr>
        <w:t>习近平总书记关于“三农”工作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重要论述</w:t>
      </w:r>
      <w:r>
        <w:rPr>
          <w:rFonts w:eastAsia="仿宋_GB2312" w:hint="eastAsia"/>
          <w:sz w:val="32"/>
          <w:szCs w:val="32"/>
        </w:rPr>
        <w:t>形成的</w:t>
      </w:r>
      <w:r>
        <w:rPr>
          <w:rFonts w:eastAsia="仿宋_GB2312" w:hint="eastAsia"/>
          <w:sz w:val="32"/>
          <w:szCs w:val="32"/>
        </w:rPr>
        <w:t>思想脉络，总结提炼其中所蕴含的鲜明理论特征和实践价值，进一步</w:t>
      </w:r>
      <w:r>
        <w:rPr>
          <w:rFonts w:eastAsia="仿宋_GB2312"/>
          <w:sz w:val="32"/>
          <w:szCs w:val="32"/>
        </w:rPr>
        <w:t>升华</w:t>
      </w:r>
      <w:r>
        <w:rPr>
          <w:rFonts w:eastAsia="仿宋_GB2312" w:hint="eastAsia"/>
          <w:sz w:val="32"/>
          <w:szCs w:val="32"/>
        </w:rPr>
        <w:t>对重要论述的</w:t>
      </w:r>
      <w:r>
        <w:rPr>
          <w:rFonts w:eastAsia="仿宋_GB2312"/>
          <w:sz w:val="32"/>
          <w:szCs w:val="32"/>
        </w:rPr>
        <w:t>科学</w:t>
      </w:r>
      <w:r>
        <w:rPr>
          <w:rFonts w:eastAsia="仿宋_GB2312" w:hint="eastAsia"/>
          <w:sz w:val="32"/>
          <w:szCs w:val="32"/>
        </w:rPr>
        <w:t>性、</w:t>
      </w:r>
      <w:r>
        <w:rPr>
          <w:rFonts w:eastAsia="仿宋_GB2312"/>
          <w:sz w:val="32"/>
          <w:szCs w:val="32"/>
        </w:rPr>
        <w:t>系统</w:t>
      </w:r>
      <w:r>
        <w:rPr>
          <w:rFonts w:eastAsia="仿宋_GB2312" w:hint="eastAsia"/>
          <w:sz w:val="32"/>
          <w:szCs w:val="32"/>
        </w:rPr>
        <w:t>性和规律性认识，</w:t>
      </w:r>
      <w:r>
        <w:rPr>
          <w:rFonts w:eastAsia="仿宋_GB2312"/>
          <w:sz w:val="32"/>
          <w:szCs w:val="32"/>
        </w:rPr>
        <w:t>研究</w:t>
      </w:r>
      <w:r>
        <w:rPr>
          <w:rFonts w:eastAsia="仿宋_GB2312" w:hint="eastAsia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重要论述</w:t>
      </w:r>
      <w:r>
        <w:rPr>
          <w:rFonts w:eastAsia="仿宋_GB2312" w:hint="eastAsia"/>
          <w:sz w:val="32"/>
          <w:szCs w:val="32"/>
        </w:rPr>
        <w:t>转化为全面推进乡村振兴、加快</w:t>
      </w:r>
      <w:r>
        <w:rPr>
          <w:rFonts w:eastAsia="仿宋_GB2312"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</w:rPr>
        <w:t>农业强国</w:t>
      </w:r>
      <w:r>
        <w:rPr>
          <w:rFonts w:eastAsia="仿宋_GB2312" w:hint="eastAsia"/>
          <w:sz w:val="32"/>
          <w:szCs w:val="32"/>
        </w:rPr>
        <w:t>理论武装、实践遵循</w:t>
      </w:r>
      <w:r>
        <w:rPr>
          <w:rFonts w:eastAsia="仿宋_GB2312"/>
          <w:sz w:val="32"/>
          <w:szCs w:val="32"/>
        </w:rPr>
        <w:t>的路径</w:t>
      </w:r>
      <w:r>
        <w:rPr>
          <w:rFonts w:eastAsia="仿宋_GB2312" w:hint="eastAsia"/>
          <w:sz w:val="32"/>
          <w:szCs w:val="32"/>
        </w:rPr>
        <w:t>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加快建设</w:t>
      </w:r>
      <w:r>
        <w:rPr>
          <w:rFonts w:eastAsia="楷体_GB2312" w:hint="eastAsia"/>
          <w:b/>
          <w:sz w:val="32"/>
          <w:szCs w:val="32"/>
        </w:rPr>
        <w:t>农业强国</w:t>
      </w:r>
      <w:r>
        <w:rPr>
          <w:rFonts w:eastAsia="楷体_GB2312" w:hint="eastAsia"/>
          <w:b/>
          <w:sz w:val="32"/>
          <w:szCs w:val="32"/>
        </w:rPr>
        <w:t>的</w:t>
      </w:r>
      <w:r>
        <w:rPr>
          <w:rFonts w:eastAsia="楷体_GB2312" w:hint="eastAsia"/>
          <w:b/>
          <w:sz w:val="32"/>
          <w:szCs w:val="32"/>
        </w:rPr>
        <w:t>战略研究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围绕建设农业强国目标，</w:t>
      </w:r>
      <w:r>
        <w:rPr>
          <w:rFonts w:eastAsia="仿宋_GB2312"/>
          <w:sz w:val="32"/>
          <w:szCs w:val="32"/>
        </w:rPr>
        <w:t>分析国外农业强国的共同特征，</w:t>
      </w:r>
      <w:r>
        <w:rPr>
          <w:rFonts w:eastAsia="仿宋_GB2312" w:hint="eastAsia"/>
          <w:sz w:val="32"/>
          <w:szCs w:val="32"/>
        </w:rPr>
        <w:t>立足国情农情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时代特征</w:t>
      </w:r>
      <w:r>
        <w:rPr>
          <w:rFonts w:eastAsia="仿宋_GB2312"/>
          <w:sz w:val="32"/>
          <w:szCs w:val="32"/>
        </w:rPr>
        <w:t>、中国特色</w:t>
      </w:r>
      <w:r>
        <w:rPr>
          <w:rFonts w:eastAsia="仿宋_GB2312" w:hint="eastAsia"/>
          <w:sz w:val="32"/>
          <w:szCs w:val="32"/>
        </w:rPr>
        <w:t>，系统研究未来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年、到</w:t>
      </w:r>
      <w:r>
        <w:rPr>
          <w:rFonts w:eastAsia="仿宋_GB2312" w:hint="eastAsia"/>
          <w:sz w:val="32"/>
          <w:szCs w:val="32"/>
        </w:rPr>
        <w:t>2035</w:t>
      </w:r>
      <w:r>
        <w:rPr>
          <w:rFonts w:eastAsia="仿宋_GB2312" w:hint="eastAsia"/>
          <w:sz w:val="32"/>
          <w:szCs w:val="32"/>
        </w:rPr>
        <w:t>年、到本世纪中叶</w:t>
      </w:r>
      <w:r>
        <w:rPr>
          <w:rFonts w:eastAsia="仿宋_GB2312" w:hint="eastAsia"/>
          <w:sz w:val="32"/>
          <w:szCs w:val="32"/>
        </w:rPr>
        <w:t>三个阶段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目标</w:t>
      </w:r>
      <w:r>
        <w:rPr>
          <w:rFonts w:eastAsia="仿宋_GB2312" w:hint="eastAsia"/>
          <w:sz w:val="32"/>
          <w:szCs w:val="32"/>
        </w:rPr>
        <w:t>任务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总体思路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抓手载体和政策支撑</w:t>
      </w:r>
      <w:r>
        <w:rPr>
          <w:rFonts w:eastAsia="仿宋_GB2312"/>
          <w:sz w:val="32"/>
          <w:szCs w:val="32"/>
        </w:rPr>
        <w:t>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3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全方位夯实粮食安全根基研究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结合国内外形势发展变化，</w:t>
      </w:r>
      <w:r>
        <w:rPr>
          <w:rFonts w:eastAsia="仿宋_GB2312" w:hint="eastAsia"/>
          <w:sz w:val="32"/>
          <w:szCs w:val="32"/>
        </w:rPr>
        <w:t>分析粮食安全形势，</w:t>
      </w:r>
      <w:r>
        <w:rPr>
          <w:rFonts w:eastAsia="仿宋_GB2312" w:hint="eastAsia"/>
          <w:sz w:val="32"/>
          <w:szCs w:val="32"/>
        </w:rPr>
        <w:t>坚持系统思维、底线思维，</w:t>
      </w:r>
      <w:r>
        <w:rPr>
          <w:rFonts w:eastAsia="仿宋_GB2312"/>
          <w:sz w:val="32"/>
          <w:szCs w:val="32"/>
        </w:rPr>
        <w:t>围绕藏粮于地、藏粮于技、农民种粮挣钱得利、地方抓粮担责尽义等方面，研究提出</w:t>
      </w:r>
      <w:r>
        <w:rPr>
          <w:rFonts w:eastAsia="仿宋_GB2312" w:hint="eastAsia"/>
          <w:sz w:val="32"/>
          <w:szCs w:val="32"/>
        </w:rPr>
        <w:t>全方位</w:t>
      </w:r>
      <w:r>
        <w:rPr>
          <w:rFonts w:eastAsia="仿宋_GB2312"/>
          <w:sz w:val="32"/>
          <w:szCs w:val="32"/>
        </w:rPr>
        <w:t>夯实</w:t>
      </w:r>
      <w:r>
        <w:rPr>
          <w:rFonts w:eastAsia="仿宋_GB2312" w:hint="eastAsia"/>
          <w:sz w:val="32"/>
          <w:szCs w:val="32"/>
        </w:rPr>
        <w:t>粮食安全</w:t>
      </w:r>
      <w:r>
        <w:rPr>
          <w:rFonts w:eastAsia="仿宋_GB2312"/>
          <w:sz w:val="32"/>
          <w:szCs w:val="32"/>
        </w:rPr>
        <w:t>根基</w:t>
      </w:r>
      <w:r>
        <w:rPr>
          <w:rFonts w:eastAsia="仿宋_GB2312" w:hint="eastAsia"/>
          <w:sz w:val="32"/>
          <w:szCs w:val="32"/>
        </w:rPr>
        <w:t>的体制机制、</w:t>
      </w:r>
      <w:r>
        <w:rPr>
          <w:rFonts w:eastAsia="仿宋_GB2312"/>
          <w:sz w:val="32"/>
          <w:szCs w:val="32"/>
        </w:rPr>
        <w:t>政策保障</w:t>
      </w:r>
      <w:r>
        <w:rPr>
          <w:rFonts w:eastAsia="仿宋_GB2312" w:hint="eastAsia"/>
          <w:sz w:val="32"/>
          <w:szCs w:val="32"/>
        </w:rPr>
        <w:t>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4.</w:t>
      </w:r>
      <w:r>
        <w:rPr>
          <w:rFonts w:eastAsia="楷体_GB2312" w:hint="eastAsia"/>
          <w:b/>
          <w:sz w:val="32"/>
          <w:szCs w:val="32"/>
        </w:rPr>
        <w:t>过渡期后脱贫人口和脱贫地区常态化帮扶机制研究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在深入调查研究的基础上，就推动</w:t>
      </w:r>
      <w:r>
        <w:rPr>
          <w:rFonts w:eastAsia="仿宋_GB2312" w:hint="eastAsia"/>
          <w:sz w:val="32"/>
          <w:szCs w:val="32"/>
        </w:rPr>
        <w:t>防止返贫帮扶政策和农村低收入人口帮扶政策衔接并轨</w:t>
      </w:r>
      <w:r>
        <w:rPr>
          <w:rFonts w:eastAsia="仿宋_GB2312"/>
          <w:sz w:val="32"/>
          <w:szCs w:val="32"/>
        </w:rPr>
        <w:t>、建立</w:t>
      </w:r>
      <w:r>
        <w:rPr>
          <w:rFonts w:eastAsia="仿宋_GB2312" w:hint="eastAsia"/>
          <w:sz w:val="32"/>
          <w:szCs w:val="32"/>
        </w:rPr>
        <w:t>欠发达地区常态化帮扶</w:t>
      </w:r>
      <w:r>
        <w:rPr>
          <w:rFonts w:eastAsia="仿宋_GB2312"/>
          <w:sz w:val="32"/>
          <w:szCs w:val="32"/>
        </w:rPr>
        <w:t>机制、增强脱贫地区和脱贫群众内生发展动力，</w:t>
      </w:r>
      <w:r>
        <w:rPr>
          <w:rFonts w:eastAsia="仿宋_GB2312"/>
          <w:sz w:val="32"/>
          <w:szCs w:val="32"/>
        </w:rPr>
        <w:t>提出政策建议</w:t>
      </w:r>
      <w:r>
        <w:rPr>
          <w:rFonts w:eastAsia="仿宋_GB2312" w:hint="eastAsia"/>
          <w:sz w:val="32"/>
          <w:szCs w:val="32"/>
        </w:rPr>
        <w:t>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5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拓宽</w:t>
      </w:r>
      <w:r>
        <w:rPr>
          <w:rFonts w:eastAsia="楷体_GB2312" w:hint="eastAsia"/>
          <w:b/>
          <w:sz w:val="32"/>
          <w:szCs w:val="32"/>
        </w:rPr>
        <w:t>农民增收</w:t>
      </w:r>
      <w:r>
        <w:rPr>
          <w:rFonts w:eastAsia="楷体_GB2312" w:hint="eastAsia"/>
          <w:b/>
          <w:sz w:val="32"/>
          <w:szCs w:val="32"/>
        </w:rPr>
        <w:t>致富渠道</w:t>
      </w:r>
      <w:r>
        <w:rPr>
          <w:rFonts w:eastAsia="楷体_GB2312" w:hint="eastAsia"/>
          <w:b/>
          <w:sz w:val="32"/>
          <w:szCs w:val="32"/>
        </w:rPr>
        <w:t>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调查</w:t>
      </w:r>
      <w:r>
        <w:rPr>
          <w:rFonts w:eastAsia="仿宋_GB2312" w:hint="eastAsia"/>
          <w:sz w:val="32"/>
          <w:szCs w:val="32"/>
        </w:rPr>
        <w:t>分析当前农民增收</w:t>
      </w:r>
      <w:r>
        <w:rPr>
          <w:rFonts w:eastAsia="仿宋_GB2312"/>
          <w:sz w:val="32"/>
          <w:szCs w:val="32"/>
        </w:rPr>
        <w:t>面临的新</w:t>
      </w:r>
      <w:r>
        <w:rPr>
          <w:rFonts w:eastAsia="仿宋_GB2312" w:hint="eastAsia"/>
          <w:sz w:val="32"/>
          <w:szCs w:val="32"/>
        </w:rPr>
        <w:t>形势，深入分析</w:t>
      </w:r>
      <w:r>
        <w:rPr>
          <w:rFonts w:eastAsia="仿宋_GB2312" w:hint="eastAsia"/>
          <w:sz w:val="32"/>
          <w:szCs w:val="32"/>
        </w:rPr>
        <w:t>当前和</w:t>
      </w:r>
      <w:r>
        <w:rPr>
          <w:rFonts w:eastAsia="仿宋_GB2312"/>
          <w:sz w:val="32"/>
          <w:szCs w:val="32"/>
        </w:rPr>
        <w:t>今后一个时期</w:t>
      </w:r>
      <w:r>
        <w:rPr>
          <w:rFonts w:eastAsia="仿宋_GB2312" w:hint="eastAsia"/>
          <w:sz w:val="32"/>
          <w:szCs w:val="32"/>
        </w:rPr>
        <w:t>促进农民增收的重点难点，着眼扎实推进共同富裕，研究提出促进农民增收的可行路径和新思路、新举措。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6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逐步使农村基本具备现代生活条件研究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落实</w:t>
      </w:r>
      <w:r>
        <w:rPr>
          <w:rFonts w:eastAsia="仿宋_GB2312"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</w:rPr>
        <w:t>宜居宜业和美乡村</w:t>
      </w:r>
      <w:r>
        <w:rPr>
          <w:rFonts w:eastAsia="仿宋_GB2312"/>
          <w:sz w:val="32"/>
          <w:szCs w:val="32"/>
        </w:rPr>
        <w:t>的要求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按照</w:t>
      </w:r>
      <w:r>
        <w:rPr>
          <w:rFonts w:eastAsia="仿宋_GB2312"/>
          <w:sz w:val="32"/>
          <w:szCs w:val="32"/>
        </w:rPr>
        <w:t>到</w:t>
      </w:r>
      <w:r>
        <w:rPr>
          <w:rFonts w:eastAsia="仿宋_GB2312"/>
          <w:sz w:val="32"/>
          <w:szCs w:val="32"/>
        </w:rPr>
        <w:t>2035</w:t>
      </w:r>
      <w:r>
        <w:rPr>
          <w:rFonts w:eastAsia="仿宋_GB2312"/>
          <w:sz w:val="32"/>
          <w:szCs w:val="32"/>
        </w:rPr>
        <w:t>年农村基本具备现代生活条件的目标，结合城乡关系和村庄布局演变趋势，</w:t>
      </w:r>
      <w:r>
        <w:rPr>
          <w:rFonts w:eastAsia="仿宋_GB2312" w:hint="eastAsia"/>
          <w:sz w:val="32"/>
          <w:szCs w:val="32"/>
        </w:rPr>
        <w:t>研究逐步使农村基本具备现代生活条件的</w:t>
      </w:r>
      <w:r>
        <w:rPr>
          <w:rFonts w:eastAsia="仿宋_GB2312"/>
          <w:sz w:val="32"/>
          <w:szCs w:val="32"/>
        </w:rPr>
        <w:t>科学</w:t>
      </w:r>
      <w:r>
        <w:rPr>
          <w:rFonts w:eastAsia="仿宋_GB2312" w:hint="eastAsia"/>
          <w:sz w:val="32"/>
          <w:szCs w:val="32"/>
        </w:rPr>
        <w:t>内涵、</w:t>
      </w:r>
      <w:r>
        <w:rPr>
          <w:rFonts w:eastAsia="仿宋_GB2312"/>
          <w:sz w:val="32"/>
          <w:szCs w:val="32"/>
        </w:rPr>
        <w:t>合理</w:t>
      </w:r>
      <w:r>
        <w:rPr>
          <w:rFonts w:eastAsia="仿宋_GB2312" w:hint="eastAsia"/>
          <w:sz w:val="32"/>
          <w:szCs w:val="32"/>
        </w:rPr>
        <w:t>标准、实现步骤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政策举措。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7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畅通城乡要素流动研究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</w:t>
      </w:r>
      <w:r>
        <w:rPr>
          <w:rFonts w:eastAsia="仿宋_GB2312" w:hint="eastAsia"/>
          <w:sz w:val="32"/>
          <w:szCs w:val="32"/>
        </w:rPr>
        <w:t>破除妨碍城乡要素平等交换、双向流动制度壁垒，推动人、地、钱、技术、管理、信息等资源要素更多下乡</w:t>
      </w:r>
      <w:r>
        <w:rPr>
          <w:rFonts w:eastAsia="仿宋_GB2312"/>
          <w:sz w:val="32"/>
          <w:szCs w:val="32"/>
        </w:rPr>
        <w:t>入乡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研究提出</w:t>
      </w:r>
      <w:r>
        <w:rPr>
          <w:rFonts w:eastAsia="仿宋_GB2312" w:hint="eastAsia"/>
          <w:sz w:val="32"/>
          <w:szCs w:val="32"/>
        </w:rPr>
        <w:t>率先在县域内破除城乡二元结构</w:t>
      </w:r>
      <w:r>
        <w:rPr>
          <w:rFonts w:eastAsia="仿宋_GB2312" w:hint="eastAsia"/>
          <w:sz w:val="32"/>
          <w:szCs w:val="32"/>
        </w:rPr>
        <w:t>的政策举措</w:t>
      </w:r>
      <w:r>
        <w:rPr>
          <w:rFonts w:eastAsia="仿宋_GB2312" w:hint="eastAsia"/>
          <w:sz w:val="32"/>
          <w:szCs w:val="32"/>
        </w:rPr>
        <w:t>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8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赋予农民更加充分的财产权益研究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深入</w:t>
      </w:r>
      <w:r>
        <w:rPr>
          <w:rFonts w:eastAsia="仿宋_GB2312" w:hint="eastAsia"/>
          <w:sz w:val="32"/>
          <w:szCs w:val="32"/>
        </w:rPr>
        <w:t>研究农民资源资产权利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保障机制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分析赋予农民更加充分的财产权益面临的制约因素，</w:t>
      </w:r>
      <w:r>
        <w:rPr>
          <w:rFonts w:eastAsia="仿宋_GB2312"/>
          <w:sz w:val="32"/>
          <w:szCs w:val="32"/>
        </w:rPr>
        <w:t>针对</w:t>
      </w:r>
      <w:r>
        <w:rPr>
          <w:rFonts w:eastAsia="仿宋_GB2312" w:hint="eastAsia"/>
          <w:sz w:val="32"/>
          <w:szCs w:val="32"/>
        </w:rPr>
        <w:t>不同类型财产权益</w:t>
      </w:r>
      <w:r>
        <w:rPr>
          <w:rFonts w:eastAsia="仿宋_GB2312"/>
          <w:sz w:val="32"/>
          <w:szCs w:val="32"/>
        </w:rPr>
        <w:t>，提出适应社会主义市场经济要求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具体</w:t>
      </w:r>
      <w:r>
        <w:rPr>
          <w:rFonts w:eastAsia="仿宋_GB2312" w:hint="eastAsia"/>
          <w:sz w:val="32"/>
          <w:szCs w:val="32"/>
        </w:rPr>
        <w:t>实现机制</w:t>
      </w:r>
      <w:r>
        <w:rPr>
          <w:rFonts w:eastAsia="仿宋_GB2312"/>
          <w:sz w:val="32"/>
          <w:szCs w:val="32"/>
        </w:rPr>
        <w:t>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9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扩大</w:t>
      </w:r>
      <w:r>
        <w:rPr>
          <w:rFonts w:eastAsia="楷体_GB2312" w:hint="eastAsia"/>
          <w:b/>
          <w:sz w:val="32"/>
          <w:szCs w:val="32"/>
        </w:rPr>
        <w:t>农村</w:t>
      </w:r>
      <w:r>
        <w:rPr>
          <w:rFonts w:eastAsia="楷体_GB2312" w:hint="eastAsia"/>
          <w:b/>
          <w:sz w:val="32"/>
          <w:szCs w:val="32"/>
        </w:rPr>
        <w:t>内需研究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着眼扩大内需战略基点，充分发挥乡村作为消费市场和要素市场</w:t>
      </w:r>
      <w:r>
        <w:rPr>
          <w:rFonts w:eastAsia="仿宋_GB2312" w:hint="eastAsia"/>
          <w:sz w:val="32"/>
          <w:szCs w:val="32"/>
        </w:rPr>
        <w:t>的重要</w:t>
      </w:r>
      <w:r>
        <w:rPr>
          <w:rFonts w:eastAsia="仿宋_GB2312" w:hint="eastAsia"/>
          <w:sz w:val="32"/>
          <w:szCs w:val="32"/>
        </w:rPr>
        <w:t>作用，</w:t>
      </w:r>
      <w:r>
        <w:rPr>
          <w:rFonts w:eastAsia="仿宋_GB2312" w:hint="eastAsia"/>
          <w:sz w:val="32"/>
          <w:szCs w:val="32"/>
        </w:rPr>
        <w:t>从供给端、流通端、需求端多方发力，</w:t>
      </w:r>
      <w:r>
        <w:rPr>
          <w:rFonts w:eastAsia="仿宋_GB2312" w:hint="eastAsia"/>
          <w:sz w:val="32"/>
          <w:szCs w:val="32"/>
        </w:rPr>
        <w:t>研究“三农”领域促进消费、扩大投资的潜力方向、重点内容、可行路径以及操作性的工程项目、政策举措。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10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我国人口变动趋势对农业农村发展影响研究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科学</w:t>
      </w:r>
      <w:r>
        <w:rPr>
          <w:rFonts w:eastAsia="仿宋_GB2312" w:hint="eastAsia"/>
          <w:sz w:val="32"/>
          <w:szCs w:val="32"/>
        </w:rPr>
        <w:t>研判未来一个时期我国人口总量</w:t>
      </w:r>
      <w:r>
        <w:rPr>
          <w:rFonts w:eastAsia="仿宋_GB2312"/>
          <w:sz w:val="32"/>
          <w:szCs w:val="32"/>
        </w:rPr>
        <w:t>、年龄</w:t>
      </w:r>
      <w:r>
        <w:rPr>
          <w:rFonts w:eastAsia="仿宋_GB2312" w:hint="eastAsia"/>
          <w:sz w:val="32"/>
          <w:szCs w:val="32"/>
        </w:rPr>
        <w:t>结构</w:t>
      </w:r>
      <w:r>
        <w:rPr>
          <w:rFonts w:eastAsia="仿宋_GB2312"/>
          <w:sz w:val="32"/>
          <w:szCs w:val="32"/>
        </w:rPr>
        <w:t>、城乡结</w:t>
      </w:r>
      <w:r>
        <w:rPr>
          <w:rFonts w:eastAsia="仿宋_GB2312"/>
          <w:sz w:val="32"/>
          <w:szCs w:val="32"/>
        </w:rPr>
        <w:lastRenderedPageBreak/>
        <w:t>构</w:t>
      </w:r>
      <w:r>
        <w:rPr>
          <w:rFonts w:eastAsia="仿宋_GB2312" w:hint="eastAsia"/>
          <w:sz w:val="32"/>
          <w:szCs w:val="32"/>
        </w:rPr>
        <w:t>变化趋势，</w:t>
      </w:r>
      <w:r>
        <w:rPr>
          <w:rFonts w:eastAsia="仿宋_GB2312"/>
          <w:sz w:val="32"/>
          <w:szCs w:val="32"/>
        </w:rPr>
        <w:t>全面</w:t>
      </w:r>
      <w:r>
        <w:rPr>
          <w:rFonts w:eastAsia="仿宋_GB2312" w:hint="eastAsia"/>
          <w:sz w:val="32"/>
          <w:szCs w:val="32"/>
        </w:rPr>
        <w:t>分析人口变动对</w:t>
      </w:r>
      <w:r>
        <w:rPr>
          <w:rFonts w:eastAsia="仿宋_GB2312"/>
          <w:sz w:val="32"/>
          <w:szCs w:val="32"/>
        </w:rPr>
        <w:t>保障</w:t>
      </w:r>
      <w:r>
        <w:rPr>
          <w:rFonts w:eastAsia="仿宋_GB2312" w:hint="eastAsia"/>
          <w:sz w:val="32"/>
          <w:szCs w:val="32"/>
        </w:rPr>
        <w:t>粮食安全、</w:t>
      </w:r>
      <w:r>
        <w:rPr>
          <w:rFonts w:eastAsia="仿宋_GB2312"/>
          <w:sz w:val="32"/>
          <w:szCs w:val="32"/>
        </w:rPr>
        <w:t>开展</w:t>
      </w:r>
      <w:r>
        <w:rPr>
          <w:rFonts w:eastAsia="仿宋_GB2312" w:hint="eastAsia"/>
          <w:sz w:val="32"/>
          <w:szCs w:val="32"/>
        </w:rPr>
        <w:t>乡村建设、</w:t>
      </w:r>
      <w:r>
        <w:rPr>
          <w:rFonts w:eastAsia="仿宋_GB2312"/>
          <w:sz w:val="32"/>
          <w:szCs w:val="32"/>
        </w:rPr>
        <w:t>完善</w:t>
      </w:r>
      <w:r>
        <w:rPr>
          <w:rFonts w:eastAsia="仿宋_GB2312" w:hint="eastAsia"/>
          <w:sz w:val="32"/>
          <w:szCs w:val="32"/>
        </w:rPr>
        <w:t>乡村治理等领域的</w:t>
      </w:r>
      <w:r>
        <w:rPr>
          <w:rFonts w:eastAsia="仿宋_GB2312"/>
          <w:sz w:val="32"/>
          <w:szCs w:val="32"/>
        </w:rPr>
        <w:t>中长期</w:t>
      </w:r>
      <w:r>
        <w:rPr>
          <w:rFonts w:eastAsia="仿宋_GB2312" w:hint="eastAsia"/>
          <w:sz w:val="32"/>
          <w:szCs w:val="32"/>
        </w:rPr>
        <w:t>影响，提出</w:t>
      </w:r>
      <w:r>
        <w:rPr>
          <w:rFonts w:eastAsia="仿宋_GB2312"/>
          <w:sz w:val="32"/>
          <w:szCs w:val="32"/>
        </w:rPr>
        <w:t>前瞻性应对的思路和建议</w:t>
      </w:r>
      <w:r>
        <w:rPr>
          <w:rFonts w:eastAsia="仿宋_GB2312" w:hint="eastAsia"/>
          <w:sz w:val="32"/>
          <w:szCs w:val="32"/>
        </w:rPr>
        <w:t>。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二、规定命题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1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构建多元化食物供给体系研究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贯彻落实大食物观，深入分析今后一个时期我国食物消费变动趋势、供需结构矛盾，</w:t>
      </w:r>
      <w:r>
        <w:rPr>
          <w:rFonts w:eastAsia="仿宋_GB2312"/>
          <w:sz w:val="32"/>
          <w:szCs w:val="32"/>
        </w:rPr>
        <w:t>围绕发展现代设施农业、推进畜牧业转型升级等重点，就加快构建粮经饲统筹、农林牧渔结合、植物动物微生物并举的多元化食物供给体系，提出可行性</w:t>
      </w:r>
      <w:r>
        <w:rPr>
          <w:rFonts w:eastAsia="仿宋_GB2312" w:hint="eastAsia"/>
          <w:sz w:val="32"/>
          <w:szCs w:val="32"/>
        </w:rPr>
        <w:t>、可操作性的政策</w:t>
      </w:r>
      <w:r>
        <w:rPr>
          <w:rFonts w:eastAsia="仿宋_GB2312"/>
          <w:sz w:val="32"/>
          <w:szCs w:val="32"/>
        </w:rPr>
        <w:t>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2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健全</w:t>
      </w:r>
      <w:r>
        <w:rPr>
          <w:rFonts w:eastAsia="楷体_GB2312"/>
          <w:b/>
          <w:sz w:val="32"/>
          <w:szCs w:val="32"/>
        </w:rPr>
        <w:t>种粮农民收益保障</w:t>
      </w:r>
      <w:r>
        <w:rPr>
          <w:rFonts w:eastAsia="楷体_GB2312" w:hint="eastAsia"/>
          <w:b/>
          <w:sz w:val="32"/>
          <w:szCs w:val="32"/>
        </w:rPr>
        <w:t>和</w:t>
      </w:r>
      <w:r>
        <w:rPr>
          <w:rFonts w:eastAsia="楷体_GB2312" w:hint="eastAsia"/>
          <w:b/>
          <w:sz w:val="32"/>
          <w:szCs w:val="32"/>
        </w:rPr>
        <w:t>粮食主产区利益补偿机制研究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通过</w:t>
      </w:r>
      <w:r>
        <w:rPr>
          <w:rFonts w:eastAsia="仿宋_GB2312"/>
          <w:sz w:val="32"/>
          <w:szCs w:val="32"/>
        </w:rPr>
        <w:t>国际比较分析</w:t>
      </w:r>
      <w:r>
        <w:rPr>
          <w:rFonts w:eastAsia="仿宋_GB2312" w:hint="eastAsia"/>
          <w:sz w:val="32"/>
          <w:szCs w:val="32"/>
        </w:rPr>
        <w:t>和调查</w:t>
      </w:r>
      <w:r>
        <w:rPr>
          <w:rFonts w:eastAsia="仿宋_GB2312"/>
          <w:sz w:val="32"/>
          <w:szCs w:val="32"/>
        </w:rPr>
        <w:t>研究</w:t>
      </w:r>
      <w:r>
        <w:rPr>
          <w:rFonts w:eastAsia="仿宋_GB2312" w:hint="eastAsia"/>
          <w:sz w:val="32"/>
          <w:szCs w:val="32"/>
        </w:rPr>
        <w:t>，梳理</w:t>
      </w:r>
      <w:r>
        <w:rPr>
          <w:rFonts w:eastAsia="仿宋_GB2312"/>
          <w:sz w:val="32"/>
          <w:szCs w:val="32"/>
        </w:rPr>
        <w:t>我国种粮农民收益保障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粮食主产区利益补偿机制存在的突出问题，剖析深层次原因，就保障种粮农民收益</w:t>
      </w:r>
      <w:r>
        <w:rPr>
          <w:rFonts w:eastAsia="仿宋_GB2312" w:hint="eastAsia"/>
          <w:sz w:val="32"/>
          <w:szCs w:val="32"/>
        </w:rPr>
        <w:t>、完善</w:t>
      </w:r>
      <w:r>
        <w:rPr>
          <w:rFonts w:eastAsia="仿宋_GB2312" w:hint="eastAsia"/>
          <w:sz w:val="32"/>
          <w:szCs w:val="32"/>
        </w:rPr>
        <w:t>纵向</w:t>
      </w:r>
      <w:r>
        <w:rPr>
          <w:rFonts w:eastAsia="仿宋_GB2312" w:hint="eastAsia"/>
          <w:sz w:val="32"/>
          <w:szCs w:val="32"/>
        </w:rPr>
        <w:t>利益</w:t>
      </w:r>
      <w:r>
        <w:rPr>
          <w:rFonts w:eastAsia="仿宋_GB2312" w:hint="eastAsia"/>
          <w:sz w:val="32"/>
          <w:szCs w:val="32"/>
        </w:rPr>
        <w:t>补偿机制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探索</w:t>
      </w:r>
      <w:r>
        <w:rPr>
          <w:rFonts w:eastAsia="仿宋_GB2312" w:hint="eastAsia"/>
          <w:sz w:val="32"/>
          <w:szCs w:val="32"/>
        </w:rPr>
        <w:t>建立</w:t>
      </w:r>
      <w:r>
        <w:rPr>
          <w:rFonts w:eastAsia="仿宋_GB2312" w:hint="eastAsia"/>
          <w:sz w:val="32"/>
          <w:szCs w:val="32"/>
        </w:rPr>
        <w:t>横向</w:t>
      </w:r>
      <w:r>
        <w:rPr>
          <w:rFonts w:eastAsia="仿宋_GB2312" w:hint="eastAsia"/>
          <w:sz w:val="32"/>
          <w:szCs w:val="32"/>
        </w:rPr>
        <w:t>利益</w:t>
      </w:r>
      <w:r>
        <w:rPr>
          <w:rFonts w:eastAsia="仿宋_GB2312" w:hint="eastAsia"/>
          <w:sz w:val="32"/>
          <w:szCs w:val="32"/>
        </w:rPr>
        <w:t>补偿机制</w:t>
      </w:r>
      <w:r>
        <w:rPr>
          <w:rFonts w:eastAsia="仿宋_GB2312" w:hint="eastAsia"/>
          <w:sz w:val="32"/>
          <w:szCs w:val="32"/>
        </w:rPr>
        <w:t>，提出</w:t>
      </w:r>
      <w:r>
        <w:rPr>
          <w:rFonts w:eastAsia="仿宋_GB2312" w:hint="eastAsia"/>
          <w:sz w:val="32"/>
          <w:szCs w:val="32"/>
        </w:rPr>
        <w:t>政策建议。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3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提升我国粮食产业链供应链韧性和安全水平研究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立足两个大局，坚持底线思维，</w:t>
      </w:r>
      <w:r>
        <w:rPr>
          <w:rFonts w:eastAsia="仿宋_GB2312" w:hint="eastAsia"/>
          <w:sz w:val="32"/>
          <w:szCs w:val="32"/>
        </w:rPr>
        <w:t>深刻把握我国粮食安全内外形势变化</w:t>
      </w:r>
      <w:r>
        <w:rPr>
          <w:rFonts w:eastAsia="仿宋_GB2312"/>
          <w:sz w:val="32"/>
          <w:szCs w:val="32"/>
        </w:rPr>
        <w:t>趋势</w:t>
      </w:r>
      <w:r>
        <w:rPr>
          <w:rFonts w:eastAsia="仿宋_GB2312" w:hint="eastAsia"/>
          <w:sz w:val="32"/>
          <w:szCs w:val="32"/>
        </w:rPr>
        <w:t>，全面梳理粮食产业链供应链中存在的短板和弱项，研究提出</w:t>
      </w:r>
      <w:r>
        <w:rPr>
          <w:rFonts w:eastAsia="仿宋_GB2312"/>
          <w:sz w:val="32"/>
          <w:szCs w:val="32"/>
        </w:rPr>
        <w:t>增强</w:t>
      </w:r>
      <w:r>
        <w:rPr>
          <w:rFonts w:eastAsia="仿宋_GB2312" w:hint="eastAsia"/>
          <w:sz w:val="32"/>
          <w:szCs w:val="32"/>
        </w:rPr>
        <w:t>我国粮食产业链供应链</w:t>
      </w:r>
      <w:r>
        <w:rPr>
          <w:rFonts w:eastAsia="仿宋_GB2312" w:hint="eastAsia"/>
          <w:sz w:val="32"/>
          <w:szCs w:val="32"/>
        </w:rPr>
        <w:t>韧性</w:t>
      </w:r>
      <w:r>
        <w:rPr>
          <w:rFonts w:eastAsia="仿宋_GB2312" w:hint="eastAsia"/>
          <w:sz w:val="32"/>
          <w:szCs w:val="32"/>
        </w:rPr>
        <w:t>的目标任务</w:t>
      </w:r>
      <w:r>
        <w:rPr>
          <w:rFonts w:eastAsia="仿宋_GB2312"/>
          <w:sz w:val="32"/>
          <w:szCs w:val="32"/>
        </w:rPr>
        <w:t>和政策</w:t>
      </w:r>
      <w:r>
        <w:rPr>
          <w:rFonts w:eastAsia="仿宋_GB2312" w:hint="eastAsia"/>
          <w:sz w:val="32"/>
          <w:szCs w:val="32"/>
        </w:rPr>
        <w:t>举措。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4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大豆油料产能提升长效政策研究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对照</w:t>
      </w:r>
      <w:r>
        <w:rPr>
          <w:rFonts w:eastAsia="仿宋_GB2312" w:hint="eastAsia"/>
          <w:sz w:val="32"/>
          <w:szCs w:val="32"/>
        </w:rPr>
        <w:t>大豆油料</w:t>
      </w:r>
      <w:r>
        <w:rPr>
          <w:rFonts w:eastAsia="仿宋_GB2312" w:hint="eastAsia"/>
          <w:sz w:val="32"/>
          <w:szCs w:val="32"/>
        </w:rPr>
        <w:t>产能提升目标</w:t>
      </w:r>
      <w:r>
        <w:rPr>
          <w:rFonts w:eastAsia="仿宋_GB2312" w:hint="eastAsia"/>
          <w:sz w:val="32"/>
          <w:szCs w:val="32"/>
        </w:rPr>
        <w:t>任务，深入分析大豆油料扩种</w:t>
      </w:r>
      <w:r>
        <w:rPr>
          <w:rFonts w:eastAsia="仿宋_GB2312" w:hint="eastAsia"/>
          <w:sz w:val="32"/>
          <w:szCs w:val="32"/>
        </w:rPr>
        <w:lastRenderedPageBreak/>
        <w:t>后续销售、加工等面临的问题</w:t>
      </w:r>
      <w:r>
        <w:rPr>
          <w:rFonts w:eastAsia="仿宋_GB2312" w:hint="eastAsia"/>
          <w:sz w:val="32"/>
          <w:szCs w:val="32"/>
        </w:rPr>
        <w:t>及制约瓶颈</w:t>
      </w:r>
      <w:r>
        <w:rPr>
          <w:rFonts w:eastAsia="仿宋_GB2312" w:hint="eastAsia"/>
          <w:sz w:val="32"/>
          <w:szCs w:val="32"/>
        </w:rPr>
        <w:t>，从</w:t>
      </w:r>
      <w:r>
        <w:rPr>
          <w:rFonts w:eastAsia="仿宋_GB2312" w:hint="eastAsia"/>
          <w:sz w:val="32"/>
          <w:szCs w:val="32"/>
        </w:rPr>
        <w:t>品种培育</w:t>
      </w:r>
      <w:r>
        <w:rPr>
          <w:rFonts w:eastAsia="仿宋_GB2312" w:hint="eastAsia"/>
          <w:sz w:val="32"/>
          <w:szCs w:val="32"/>
        </w:rPr>
        <w:t>、经营方式、加工路线、收储制度、</w:t>
      </w:r>
      <w:r>
        <w:rPr>
          <w:rFonts w:eastAsia="仿宋_GB2312" w:hint="eastAsia"/>
          <w:sz w:val="32"/>
          <w:szCs w:val="32"/>
        </w:rPr>
        <w:t>消费</w:t>
      </w:r>
      <w:r>
        <w:rPr>
          <w:rFonts w:eastAsia="仿宋_GB2312"/>
          <w:sz w:val="32"/>
          <w:szCs w:val="32"/>
        </w:rPr>
        <w:t>节约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品种替代、</w:t>
      </w:r>
      <w:r>
        <w:rPr>
          <w:rFonts w:eastAsia="仿宋_GB2312" w:hint="eastAsia"/>
          <w:sz w:val="32"/>
          <w:szCs w:val="32"/>
        </w:rPr>
        <w:t>贸易</w:t>
      </w:r>
      <w:r>
        <w:rPr>
          <w:rFonts w:eastAsia="仿宋_GB2312"/>
          <w:sz w:val="32"/>
          <w:szCs w:val="32"/>
        </w:rPr>
        <w:t>调节</w:t>
      </w:r>
      <w:r>
        <w:rPr>
          <w:rFonts w:eastAsia="仿宋_GB2312" w:hint="eastAsia"/>
          <w:sz w:val="32"/>
          <w:szCs w:val="32"/>
        </w:rPr>
        <w:t>、金融保险</w:t>
      </w:r>
      <w:r>
        <w:rPr>
          <w:rFonts w:eastAsia="仿宋_GB2312" w:hint="eastAsia"/>
          <w:sz w:val="32"/>
          <w:szCs w:val="32"/>
        </w:rPr>
        <w:t>等方面提出一揽子政策建议。</w:t>
      </w:r>
    </w:p>
    <w:p w:rsidR="003A451F" w:rsidRDefault="00BF159F" w:rsidP="00425BC9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5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巩固易地搬迁脱贫成果研究</w:t>
      </w:r>
    </w:p>
    <w:p w:rsidR="003A451F" w:rsidRDefault="00BF159F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基于理论分析、政策梳理和实地调研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，全面</w:t>
      </w:r>
      <w:r>
        <w:rPr>
          <w:rFonts w:ascii="仿宋_GB2312" w:eastAsia="仿宋_GB2312" w:hAnsi="仿宋_GB2312" w:cs="仿宋_GB2312"/>
          <w:sz w:val="32"/>
          <w:szCs w:val="32"/>
        </w:rPr>
        <w:t>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搬迁群众生产生活</w:t>
      </w:r>
      <w:r>
        <w:rPr>
          <w:rFonts w:ascii="仿宋_GB2312" w:eastAsia="仿宋_GB2312" w:hAnsi="仿宋_GB2312" w:cs="仿宋_GB2312"/>
          <w:sz w:val="32"/>
          <w:szCs w:val="32"/>
        </w:rPr>
        <w:t>现状，</w:t>
      </w:r>
      <w:r>
        <w:rPr>
          <w:rFonts w:ascii="仿宋_GB2312" w:eastAsia="仿宋_GB2312" w:hAnsi="仿宋_GB2312" w:cs="仿宋_GB2312" w:hint="eastAsia"/>
          <w:sz w:val="32"/>
          <w:szCs w:val="32"/>
        </w:rPr>
        <w:t>聚焦产业、就业、配套设施和公共服务、社区治理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心态</w:t>
      </w:r>
      <w:r>
        <w:rPr>
          <w:rFonts w:ascii="仿宋_GB2312" w:eastAsia="仿宋_GB2312" w:hAnsi="仿宋_GB2312" w:cs="仿宋_GB2312" w:hint="eastAsia"/>
          <w:sz w:val="32"/>
          <w:szCs w:val="32"/>
        </w:rPr>
        <w:t>等，设计提出能使易地搬迁群众稳得住、能融入、逐步能致富的努力方向、政策体系与实招硬招。</w:t>
      </w:r>
    </w:p>
    <w:p w:rsidR="003A451F" w:rsidRDefault="00BF159F" w:rsidP="00425BC9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6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增强乡村振兴重点帮扶县发展能力研究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在政策梳理和</w:t>
      </w:r>
      <w:r>
        <w:rPr>
          <w:rFonts w:ascii="仿宋_GB2312" w:eastAsia="仿宋_GB2312" w:hAnsi="仿宋_GB2312" w:cs="仿宋_GB2312"/>
          <w:sz w:val="32"/>
          <w:szCs w:val="32"/>
        </w:rPr>
        <w:t>深入调研</w:t>
      </w:r>
      <w:r>
        <w:rPr>
          <w:rFonts w:ascii="仿宋_GB2312" w:eastAsia="仿宋_GB2312" w:hAnsi="仿宋_GB2312" w:cs="仿宋_GB2312" w:hint="eastAsia"/>
          <w:sz w:val="32"/>
          <w:szCs w:val="32"/>
        </w:rPr>
        <w:t>的基础上，评价国家乡村振兴重点帮扶县发展成效</w:t>
      </w:r>
      <w:r>
        <w:rPr>
          <w:rFonts w:ascii="仿宋_GB2312" w:eastAsia="仿宋_GB2312" w:hAnsi="仿宋_GB2312" w:cs="仿宋_GB2312" w:hint="eastAsia"/>
          <w:sz w:val="32"/>
          <w:szCs w:val="32"/>
        </w:rPr>
        <w:t>和存在问题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，研究</w:t>
      </w:r>
      <w:r>
        <w:rPr>
          <w:rFonts w:ascii="仿宋_GB2312" w:eastAsia="仿宋_GB2312" w:hAnsi="仿宋_GB2312" w:cs="仿宋_GB2312"/>
          <w:sz w:val="32"/>
          <w:szCs w:val="32"/>
        </w:rPr>
        <w:t>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改善国家乡村振兴重点帮扶县发展条件、提升发展能力的基本思路与实现路径，作出</w:t>
      </w:r>
      <w:r>
        <w:rPr>
          <w:rFonts w:ascii="仿宋_GB2312" w:eastAsia="仿宋_GB2312" w:hAnsi="仿宋_GB2312" w:cs="仿宋_GB2312" w:hint="eastAsia"/>
          <w:sz w:val="32"/>
          <w:szCs w:val="32"/>
        </w:rPr>
        <w:t>前瞻</w:t>
      </w:r>
      <w:r>
        <w:rPr>
          <w:rFonts w:ascii="仿宋_GB2312" w:eastAsia="仿宋_GB2312" w:hAnsi="仿宋_GB2312" w:cs="仿宋_GB2312" w:hint="eastAsia"/>
          <w:sz w:val="32"/>
          <w:szCs w:val="32"/>
        </w:rPr>
        <w:t>性、可操作性的政策体系设计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3A451F" w:rsidRDefault="00BF159F" w:rsidP="00425BC9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7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中国特色适度规模经营研究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立足小农数量众多的基本国情农情，围绕完善双层经营体制、发展社会化服务、培育新型农业经营主体、推动小农户与现代农业发展有机衔接，归纳提出中国特色适度规模经营的内涵外延和实现路径，提出政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 w:hint="eastAsia"/>
          <w:b/>
          <w:sz w:val="32"/>
          <w:szCs w:val="32"/>
        </w:rPr>
        <w:t>8</w:t>
      </w:r>
      <w:r>
        <w:rPr>
          <w:rFonts w:eastAsia="楷体_GB2312" w:hint="eastAsia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围绕“</w:t>
      </w:r>
      <w:r>
        <w:rPr>
          <w:rFonts w:eastAsia="楷体_GB2312" w:hint="eastAsia"/>
          <w:b/>
          <w:sz w:val="32"/>
          <w:szCs w:val="32"/>
        </w:rPr>
        <w:t>土特产</w:t>
      </w:r>
      <w:r>
        <w:rPr>
          <w:rFonts w:eastAsia="楷体_GB2312" w:hint="eastAsia"/>
          <w:b/>
          <w:sz w:val="32"/>
          <w:szCs w:val="32"/>
        </w:rPr>
        <w:t>”发展</w:t>
      </w:r>
      <w:r>
        <w:rPr>
          <w:rFonts w:eastAsia="楷体_GB2312" w:hint="eastAsia"/>
          <w:b/>
          <w:sz w:val="32"/>
          <w:szCs w:val="32"/>
        </w:rPr>
        <w:t>乡村</w:t>
      </w:r>
      <w:r>
        <w:rPr>
          <w:rFonts w:eastAsia="楷体_GB2312" w:hint="eastAsia"/>
          <w:b/>
          <w:sz w:val="32"/>
          <w:szCs w:val="32"/>
        </w:rPr>
        <w:t>特色</w:t>
      </w:r>
      <w:r>
        <w:rPr>
          <w:rFonts w:eastAsia="楷体_GB2312" w:hint="eastAsia"/>
          <w:b/>
          <w:sz w:val="32"/>
          <w:szCs w:val="32"/>
        </w:rPr>
        <w:t>产业研究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紧扣“</w:t>
      </w:r>
      <w:r>
        <w:rPr>
          <w:rFonts w:eastAsia="仿宋_GB2312" w:hint="eastAsia"/>
          <w:sz w:val="32"/>
          <w:szCs w:val="32"/>
        </w:rPr>
        <w:t>土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特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产</w:t>
      </w:r>
      <w:r>
        <w:rPr>
          <w:rFonts w:eastAsia="仿宋_GB2312" w:hint="eastAsia"/>
          <w:sz w:val="32"/>
          <w:szCs w:val="32"/>
        </w:rPr>
        <w:t>”要求，</w:t>
      </w:r>
      <w:r>
        <w:rPr>
          <w:rFonts w:eastAsia="仿宋_GB2312" w:hint="eastAsia"/>
          <w:sz w:val="32"/>
          <w:szCs w:val="32"/>
        </w:rPr>
        <w:t>着眼开发乡土资源、突出地域特点、打造产业集群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在充分调研的基础上，研究提出推动乡村产业全链条升级、增强市场竞争力和可持续发展能力</w:t>
      </w:r>
      <w:r>
        <w:rPr>
          <w:rFonts w:eastAsia="仿宋_GB2312"/>
          <w:sz w:val="32"/>
          <w:szCs w:val="32"/>
        </w:rPr>
        <w:t>、健全联农带农</w:t>
      </w:r>
      <w:r>
        <w:rPr>
          <w:rFonts w:eastAsia="仿宋_GB2312" w:hint="eastAsia"/>
          <w:sz w:val="32"/>
          <w:szCs w:val="32"/>
        </w:rPr>
        <w:t>益农</w:t>
      </w:r>
      <w:r>
        <w:rPr>
          <w:rFonts w:eastAsia="仿宋_GB2312"/>
          <w:sz w:val="32"/>
          <w:szCs w:val="32"/>
        </w:rPr>
        <w:t>机制</w:t>
      </w:r>
      <w:r>
        <w:rPr>
          <w:rFonts w:eastAsia="仿宋_GB2312" w:hint="eastAsia"/>
          <w:sz w:val="32"/>
          <w:szCs w:val="32"/>
        </w:rPr>
        <w:t>的政策建议。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lastRenderedPageBreak/>
        <w:t>19</w:t>
      </w:r>
      <w:r>
        <w:rPr>
          <w:rFonts w:eastAsia="楷体_GB2312"/>
          <w:b/>
          <w:bCs/>
          <w:sz w:val="32"/>
          <w:szCs w:val="32"/>
        </w:rPr>
        <w:t>.</w:t>
      </w:r>
      <w:r>
        <w:rPr>
          <w:rFonts w:eastAsia="楷体_GB2312"/>
          <w:b/>
          <w:bCs/>
          <w:sz w:val="32"/>
          <w:szCs w:val="32"/>
        </w:rPr>
        <w:t>草原畜牧业转型升级研究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围绕合理利用草地资源、</w:t>
      </w:r>
      <w:r>
        <w:rPr>
          <w:rFonts w:eastAsia="仿宋_GB2312"/>
          <w:sz w:val="32"/>
          <w:szCs w:val="32"/>
        </w:rPr>
        <w:t>推进</w:t>
      </w:r>
      <w:r>
        <w:rPr>
          <w:rFonts w:eastAsia="仿宋_GB2312" w:hint="eastAsia"/>
          <w:sz w:val="32"/>
          <w:szCs w:val="32"/>
        </w:rPr>
        <w:t>划区轮牧</w:t>
      </w:r>
      <w:r>
        <w:rPr>
          <w:rFonts w:eastAsia="仿宋_GB2312"/>
          <w:sz w:val="32"/>
          <w:szCs w:val="32"/>
        </w:rPr>
        <w:t>、创新经营模式、完善</w:t>
      </w:r>
      <w:r>
        <w:rPr>
          <w:rFonts w:eastAsia="仿宋_GB2312" w:hint="eastAsia"/>
          <w:sz w:val="32"/>
          <w:szCs w:val="32"/>
        </w:rPr>
        <w:t>利益联结机制</w:t>
      </w:r>
      <w:r>
        <w:rPr>
          <w:rFonts w:eastAsia="仿宋_GB2312"/>
          <w:sz w:val="32"/>
          <w:szCs w:val="32"/>
        </w:rPr>
        <w:t>，深入</w:t>
      </w:r>
      <w:r>
        <w:rPr>
          <w:rFonts w:eastAsia="仿宋_GB2312" w:hint="eastAsia"/>
          <w:sz w:val="32"/>
          <w:szCs w:val="32"/>
        </w:rPr>
        <w:t>分析当前草原畜牧业发展面临的重点难点问题，研究</w:t>
      </w:r>
      <w:r>
        <w:rPr>
          <w:rFonts w:eastAsia="仿宋_GB2312"/>
          <w:sz w:val="32"/>
          <w:szCs w:val="32"/>
        </w:rPr>
        <w:t>提出</w:t>
      </w:r>
      <w:r>
        <w:rPr>
          <w:rFonts w:eastAsia="仿宋_GB2312" w:hint="eastAsia"/>
          <w:sz w:val="32"/>
          <w:szCs w:val="32"/>
        </w:rPr>
        <w:t>草原畜牧业转型升级的目标任务、总体思路和政策举措。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 w:hint="eastAsia"/>
          <w:b/>
          <w:sz w:val="32"/>
          <w:szCs w:val="32"/>
        </w:rPr>
        <w:t>0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扩大农业投资研究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对照加快建设农业强国的目标要求，</w:t>
      </w:r>
      <w:r>
        <w:rPr>
          <w:rFonts w:eastAsia="仿宋_GB2312" w:hint="eastAsia"/>
          <w:sz w:val="32"/>
          <w:szCs w:val="32"/>
        </w:rPr>
        <w:t>梳理</w:t>
      </w:r>
      <w:r>
        <w:rPr>
          <w:rFonts w:eastAsia="仿宋_GB2312"/>
          <w:sz w:val="32"/>
          <w:szCs w:val="32"/>
        </w:rPr>
        <w:t>分析</w:t>
      </w:r>
      <w:r>
        <w:rPr>
          <w:rFonts w:eastAsia="仿宋_GB2312" w:hint="eastAsia"/>
          <w:sz w:val="32"/>
          <w:szCs w:val="32"/>
        </w:rPr>
        <w:t>当前农业投资现状</w:t>
      </w:r>
      <w:r>
        <w:rPr>
          <w:rFonts w:eastAsia="仿宋_GB2312"/>
          <w:sz w:val="32"/>
          <w:szCs w:val="32"/>
        </w:rPr>
        <w:t>问题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科学研判</w:t>
      </w:r>
      <w:r>
        <w:rPr>
          <w:rFonts w:eastAsia="仿宋_GB2312" w:hint="eastAsia"/>
          <w:sz w:val="32"/>
          <w:szCs w:val="32"/>
        </w:rPr>
        <w:t>农业投资变化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规律趋势，</w:t>
      </w:r>
      <w:r>
        <w:rPr>
          <w:rFonts w:eastAsia="仿宋_GB2312"/>
          <w:sz w:val="32"/>
          <w:szCs w:val="32"/>
        </w:rPr>
        <w:t>结合我国农业发展特点，</w:t>
      </w:r>
      <w:r>
        <w:rPr>
          <w:rFonts w:eastAsia="仿宋_GB2312" w:hint="eastAsia"/>
          <w:sz w:val="32"/>
          <w:szCs w:val="32"/>
        </w:rPr>
        <w:t>提出引导</w:t>
      </w:r>
      <w:r>
        <w:rPr>
          <w:rFonts w:eastAsia="仿宋_GB2312"/>
          <w:sz w:val="32"/>
          <w:szCs w:val="32"/>
        </w:rPr>
        <w:t>各类</w:t>
      </w:r>
      <w:r>
        <w:rPr>
          <w:rFonts w:eastAsia="仿宋_GB2312" w:hint="eastAsia"/>
          <w:sz w:val="32"/>
          <w:szCs w:val="32"/>
        </w:rPr>
        <w:t>资本进入农业的重点领域、</w:t>
      </w:r>
      <w:r>
        <w:rPr>
          <w:rFonts w:eastAsia="仿宋_GB2312"/>
          <w:sz w:val="32"/>
          <w:szCs w:val="32"/>
        </w:rPr>
        <w:t>平台载体、</w:t>
      </w:r>
      <w:r>
        <w:rPr>
          <w:rFonts w:eastAsia="仿宋_GB2312" w:hint="eastAsia"/>
          <w:sz w:val="32"/>
          <w:szCs w:val="32"/>
        </w:rPr>
        <w:t>有效路径、</w:t>
      </w:r>
      <w:r>
        <w:rPr>
          <w:rFonts w:eastAsia="仿宋_GB2312"/>
          <w:sz w:val="32"/>
          <w:szCs w:val="32"/>
        </w:rPr>
        <w:t>投融资模式和</w:t>
      </w:r>
      <w:r>
        <w:rPr>
          <w:rFonts w:eastAsia="仿宋_GB2312" w:hint="eastAsia"/>
          <w:sz w:val="32"/>
          <w:szCs w:val="32"/>
        </w:rPr>
        <w:t>配套政策。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21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县域经济发展促进机制研究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在充分调研的基础上，研究县域在构建新发展格局中的地位，</w:t>
      </w:r>
      <w:r>
        <w:rPr>
          <w:rFonts w:eastAsia="仿宋_GB2312"/>
          <w:sz w:val="32"/>
          <w:szCs w:val="32"/>
        </w:rPr>
        <w:t>科学研判</w:t>
      </w:r>
      <w:r>
        <w:rPr>
          <w:rFonts w:eastAsia="仿宋_GB2312" w:hint="eastAsia"/>
          <w:sz w:val="32"/>
          <w:szCs w:val="32"/>
        </w:rPr>
        <w:t>县域</w:t>
      </w:r>
      <w:r>
        <w:rPr>
          <w:rFonts w:eastAsia="仿宋_GB2312"/>
          <w:sz w:val="32"/>
          <w:szCs w:val="32"/>
        </w:rPr>
        <w:t>经济</w:t>
      </w:r>
      <w:r>
        <w:rPr>
          <w:rFonts w:eastAsia="仿宋_GB2312" w:hint="eastAsia"/>
          <w:sz w:val="32"/>
          <w:szCs w:val="32"/>
        </w:rPr>
        <w:t>发展趋势</w:t>
      </w:r>
      <w:r>
        <w:rPr>
          <w:rFonts w:eastAsia="仿宋_GB2312"/>
          <w:sz w:val="32"/>
          <w:szCs w:val="32"/>
        </w:rPr>
        <w:t>和分化态势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就</w:t>
      </w:r>
      <w:r>
        <w:rPr>
          <w:rFonts w:eastAsia="仿宋_GB2312" w:hint="eastAsia"/>
          <w:sz w:val="32"/>
          <w:szCs w:val="32"/>
        </w:rPr>
        <w:t>加快县域产业发展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推进</w:t>
      </w:r>
      <w:r>
        <w:rPr>
          <w:rFonts w:eastAsia="仿宋_GB2312" w:hint="eastAsia"/>
          <w:sz w:val="32"/>
          <w:szCs w:val="32"/>
        </w:rPr>
        <w:t>农民</w:t>
      </w:r>
      <w:r>
        <w:rPr>
          <w:rFonts w:eastAsia="仿宋_GB2312" w:hint="eastAsia"/>
          <w:sz w:val="32"/>
          <w:szCs w:val="32"/>
        </w:rPr>
        <w:t>就</w:t>
      </w:r>
      <w:r>
        <w:rPr>
          <w:rFonts w:eastAsia="仿宋_GB2312" w:hint="eastAsia"/>
          <w:sz w:val="32"/>
          <w:szCs w:val="32"/>
        </w:rPr>
        <w:t>地就业</w:t>
      </w:r>
      <w:r>
        <w:rPr>
          <w:rFonts w:eastAsia="仿宋_GB2312"/>
          <w:sz w:val="32"/>
          <w:szCs w:val="32"/>
        </w:rPr>
        <w:t>和市民化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推动县域城乡融合发展提出思路和建议。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22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完善</w:t>
      </w:r>
      <w:r>
        <w:rPr>
          <w:rFonts w:eastAsia="楷体_GB2312" w:hint="eastAsia"/>
          <w:b/>
          <w:sz w:val="32"/>
          <w:szCs w:val="32"/>
        </w:rPr>
        <w:t>农村养老服务</w:t>
      </w:r>
      <w:r>
        <w:rPr>
          <w:rFonts w:eastAsia="楷体_GB2312" w:hint="eastAsia"/>
          <w:b/>
          <w:sz w:val="32"/>
          <w:szCs w:val="32"/>
        </w:rPr>
        <w:t>体系</w:t>
      </w:r>
      <w:r>
        <w:rPr>
          <w:rFonts w:eastAsia="楷体_GB2312" w:hint="eastAsia"/>
          <w:b/>
          <w:sz w:val="32"/>
          <w:szCs w:val="32"/>
        </w:rPr>
        <w:t>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立足农民需求和农村特点，就</w:t>
      </w:r>
      <w:r>
        <w:rPr>
          <w:rFonts w:eastAsia="仿宋_GB2312"/>
          <w:sz w:val="32"/>
          <w:szCs w:val="32"/>
        </w:rPr>
        <w:t>完善居家养老服务网络、推进村庄公共设施适老化改造、发展农村普惠型养老服务、支持家庭承担养老功能、强化政府养老机构兜底保障等，总结各地创新性的实践和做法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提出可行性、操作性强的政策建议。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23.</w:t>
      </w:r>
      <w:r>
        <w:rPr>
          <w:rFonts w:eastAsia="楷体_GB2312" w:hint="eastAsia"/>
          <w:b/>
          <w:sz w:val="32"/>
          <w:szCs w:val="32"/>
        </w:rPr>
        <w:t>基层治理体系优化创新研究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适应基层治理</w:t>
      </w:r>
      <w:r>
        <w:rPr>
          <w:rFonts w:eastAsia="仿宋_GB2312" w:hint="eastAsia"/>
          <w:sz w:val="32"/>
          <w:szCs w:val="32"/>
        </w:rPr>
        <w:t>新形势新要求</w:t>
      </w:r>
      <w:r>
        <w:rPr>
          <w:rFonts w:eastAsia="仿宋_GB2312"/>
          <w:sz w:val="32"/>
          <w:szCs w:val="32"/>
        </w:rPr>
        <w:t>，研究总结各地创新模式和实践经验，</w:t>
      </w:r>
      <w:r>
        <w:rPr>
          <w:rFonts w:eastAsia="仿宋_GB2312" w:hint="eastAsia"/>
          <w:sz w:val="32"/>
          <w:szCs w:val="32"/>
        </w:rPr>
        <w:t>围绕</w:t>
      </w:r>
      <w:r>
        <w:rPr>
          <w:rFonts w:eastAsia="仿宋_GB2312"/>
          <w:sz w:val="32"/>
          <w:szCs w:val="32"/>
        </w:rPr>
        <w:t>推动县域治理和服务重心下移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资源下沉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促进</w:t>
      </w:r>
      <w:r>
        <w:rPr>
          <w:rFonts w:eastAsia="仿宋_GB2312"/>
          <w:sz w:val="32"/>
          <w:szCs w:val="32"/>
        </w:rPr>
        <w:lastRenderedPageBreak/>
        <w:t>乡镇赋权扩能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创新</w:t>
      </w:r>
      <w:r>
        <w:rPr>
          <w:rFonts w:eastAsia="仿宋_GB2312"/>
          <w:sz w:val="32"/>
          <w:szCs w:val="32"/>
        </w:rPr>
        <w:t>数字化技术应用机制</w:t>
      </w:r>
      <w:r>
        <w:rPr>
          <w:rFonts w:eastAsia="仿宋_GB2312" w:hint="eastAsia"/>
          <w:sz w:val="32"/>
          <w:szCs w:val="32"/>
        </w:rPr>
        <w:t>提升基层治理效能等方面，提出优化基层治理体系的可行思路和政策建议</w:t>
      </w:r>
      <w:r>
        <w:rPr>
          <w:rFonts w:eastAsia="仿宋_GB2312"/>
          <w:sz w:val="32"/>
          <w:szCs w:val="32"/>
        </w:rPr>
        <w:t>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 w:hint="eastAsia"/>
          <w:b/>
          <w:sz w:val="32"/>
          <w:szCs w:val="32"/>
        </w:rPr>
        <w:t>4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中华农耕文明中的“和”文化研究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系统梳理中华农耕文明中“和”文化的</w:t>
      </w:r>
      <w:r>
        <w:rPr>
          <w:rFonts w:eastAsia="仿宋_GB2312"/>
          <w:sz w:val="32"/>
          <w:szCs w:val="32"/>
        </w:rPr>
        <w:t>丰富</w:t>
      </w:r>
      <w:r>
        <w:rPr>
          <w:rFonts w:eastAsia="仿宋_GB2312" w:hint="eastAsia"/>
          <w:sz w:val="32"/>
          <w:szCs w:val="32"/>
        </w:rPr>
        <w:t>内涵，分析“和”文化在当代乡村</w:t>
      </w:r>
      <w:r>
        <w:rPr>
          <w:rFonts w:eastAsia="仿宋_GB2312"/>
          <w:sz w:val="32"/>
          <w:szCs w:val="32"/>
        </w:rPr>
        <w:t>社会</w:t>
      </w:r>
      <w:r>
        <w:rPr>
          <w:rFonts w:eastAsia="仿宋_GB2312" w:hint="eastAsia"/>
          <w:sz w:val="32"/>
          <w:szCs w:val="32"/>
        </w:rPr>
        <w:t>的价值体现，总结地方</w:t>
      </w:r>
      <w:r>
        <w:rPr>
          <w:rFonts w:eastAsia="仿宋_GB2312"/>
          <w:sz w:val="32"/>
          <w:szCs w:val="32"/>
        </w:rPr>
        <w:t>传承发扬</w:t>
      </w:r>
      <w:r>
        <w:rPr>
          <w:rFonts w:ascii="仿宋_GB2312" w:eastAsia="仿宋_GB2312" w:hAnsi="仿宋_GB2312" w:cs="仿宋_GB2312" w:hint="eastAsia"/>
          <w:sz w:val="32"/>
          <w:szCs w:val="32"/>
        </w:rPr>
        <w:t>“和”文化的经验做法，研究提出宜居宜业和美乡村建设中“和”文化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具体类型与</w:t>
      </w:r>
      <w:r>
        <w:rPr>
          <w:rFonts w:ascii="仿宋_GB2312" w:eastAsia="仿宋_GB2312" w:hAnsi="仿宋_GB2312" w:cs="仿宋_GB2312" w:hint="eastAsia"/>
          <w:sz w:val="32"/>
          <w:szCs w:val="32"/>
        </w:rPr>
        <w:t>实践方式。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 w:hint="eastAsia"/>
          <w:b/>
          <w:sz w:val="32"/>
          <w:szCs w:val="32"/>
        </w:rPr>
        <w:t>5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新一代农民工群体特征和发展状况研究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立足我国城镇化发展趋势</w:t>
      </w:r>
      <w:r>
        <w:rPr>
          <w:rFonts w:eastAsia="仿宋_GB2312" w:hint="eastAsia"/>
          <w:sz w:val="32"/>
          <w:szCs w:val="32"/>
        </w:rPr>
        <w:t>以及</w:t>
      </w:r>
      <w:r>
        <w:rPr>
          <w:rFonts w:eastAsia="仿宋_GB2312" w:hint="eastAsia"/>
          <w:sz w:val="32"/>
          <w:szCs w:val="32"/>
        </w:rPr>
        <w:t>农民工年龄结构、代际结构变化趋势，通过问卷调查和实地调研，深入分析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后”、“</w:t>
      </w:r>
      <w:r>
        <w:rPr>
          <w:rFonts w:eastAsia="仿宋_GB2312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后”</w:t>
      </w:r>
      <w:r>
        <w:rPr>
          <w:rFonts w:eastAsia="仿宋_GB2312" w:hint="eastAsia"/>
          <w:sz w:val="32"/>
          <w:szCs w:val="32"/>
        </w:rPr>
        <w:t>新一代农民工就业收入、</w:t>
      </w:r>
      <w:r>
        <w:rPr>
          <w:rFonts w:eastAsia="仿宋_GB2312"/>
          <w:sz w:val="32"/>
          <w:szCs w:val="32"/>
        </w:rPr>
        <w:t>定居意愿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社会</w:t>
      </w:r>
      <w:r>
        <w:rPr>
          <w:rFonts w:eastAsia="仿宋_GB2312" w:hint="eastAsia"/>
          <w:sz w:val="32"/>
          <w:szCs w:val="32"/>
        </w:rPr>
        <w:t>融入、精神生活、价值追求等方面的</w:t>
      </w: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特点</w:t>
      </w:r>
      <w:r>
        <w:rPr>
          <w:rFonts w:eastAsia="仿宋_GB2312"/>
          <w:sz w:val="32"/>
          <w:szCs w:val="32"/>
        </w:rPr>
        <w:t>、新</w:t>
      </w:r>
      <w:r>
        <w:rPr>
          <w:rFonts w:eastAsia="仿宋_GB2312" w:hint="eastAsia"/>
          <w:sz w:val="32"/>
          <w:szCs w:val="32"/>
        </w:rPr>
        <w:t>趋势，研究提出政策建议。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 w:hint="eastAsia"/>
          <w:b/>
          <w:sz w:val="32"/>
          <w:szCs w:val="32"/>
        </w:rPr>
        <w:t>6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新型农村集体经济的发展路径与运行机制研究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分析</w:t>
      </w:r>
      <w:r>
        <w:rPr>
          <w:rFonts w:eastAsia="仿宋_GB2312" w:hint="eastAsia"/>
          <w:sz w:val="32"/>
          <w:szCs w:val="32"/>
        </w:rPr>
        <w:t>新型农村集体经济的</w:t>
      </w:r>
      <w:r>
        <w:rPr>
          <w:rFonts w:eastAsia="仿宋_GB2312" w:hint="eastAsia"/>
          <w:sz w:val="32"/>
          <w:szCs w:val="32"/>
        </w:rPr>
        <w:t>时代特点与</w:t>
      </w:r>
      <w:r>
        <w:rPr>
          <w:rFonts w:eastAsia="仿宋_GB2312" w:hint="eastAsia"/>
          <w:sz w:val="32"/>
          <w:szCs w:val="32"/>
        </w:rPr>
        <w:t>内涵外延，基于实地调研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对比分析各地发展新型农村集体经济的不同模式，提出壮大农村集体经济、完善运行机制、保障农民权益的新路径</w:t>
      </w:r>
      <w:r>
        <w:rPr>
          <w:rFonts w:eastAsia="仿宋_GB2312"/>
          <w:sz w:val="32"/>
          <w:szCs w:val="32"/>
        </w:rPr>
        <w:t>新举措</w:t>
      </w:r>
      <w:r>
        <w:rPr>
          <w:rFonts w:eastAsia="仿宋_GB2312" w:hint="eastAsia"/>
          <w:sz w:val="32"/>
          <w:szCs w:val="32"/>
        </w:rPr>
        <w:t>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27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农村宅基地</w:t>
      </w:r>
      <w:r>
        <w:rPr>
          <w:rFonts w:eastAsia="楷体_GB2312" w:hint="eastAsia"/>
          <w:b/>
          <w:sz w:val="32"/>
          <w:szCs w:val="32"/>
        </w:rPr>
        <w:t>权利分置和权能完善</w:t>
      </w:r>
      <w:r>
        <w:rPr>
          <w:rFonts w:eastAsia="楷体_GB2312" w:hint="eastAsia"/>
          <w:b/>
          <w:sz w:val="32"/>
          <w:szCs w:val="32"/>
        </w:rPr>
        <w:t>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研究农村宅基地集体所有权、农户资格权和宅基地使用权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三权分置</w:t>
      </w:r>
      <w:r>
        <w:rPr>
          <w:rFonts w:eastAsia="仿宋_GB2312" w:hint="eastAsia"/>
          <w:sz w:val="32"/>
          <w:szCs w:val="32"/>
        </w:rPr>
        <w:t>”的</w:t>
      </w:r>
      <w:r>
        <w:rPr>
          <w:rFonts w:eastAsia="仿宋_GB2312" w:hint="eastAsia"/>
          <w:sz w:val="32"/>
          <w:szCs w:val="32"/>
        </w:rPr>
        <w:t>有效</w:t>
      </w:r>
      <w:r>
        <w:rPr>
          <w:rFonts w:eastAsia="仿宋_GB2312" w:hint="eastAsia"/>
          <w:sz w:val="32"/>
          <w:szCs w:val="32"/>
        </w:rPr>
        <w:t>实现形式，</w:t>
      </w:r>
      <w:r>
        <w:rPr>
          <w:rFonts w:eastAsia="仿宋_GB2312" w:hint="eastAsia"/>
          <w:sz w:val="32"/>
          <w:szCs w:val="32"/>
        </w:rPr>
        <w:t>进一步明晰所有权、资格权、使用权的权能及实现路径，</w:t>
      </w:r>
      <w:r>
        <w:rPr>
          <w:rFonts w:eastAsia="仿宋_GB2312" w:hint="eastAsia"/>
          <w:sz w:val="32"/>
          <w:szCs w:val="32"/>
        </w:rPr>
        <w:t>提出</w:t>
      </w:r>
      <w:r>
        <w:rPr>
          <w:rFonts w:eastAsia="仿宋_GB2312" w:hint="eastAsia"/>
          <w:sz w:val="32"/>
          <w:szCs w:val="32"/>
        </w:rPr>
        <w:t>落实宅基地所有权、保障农户资格权和农民房屋财产权、适度放活宅基地和农民房屋使用权</w:t>
      </w:r>
      <w:r>
        <w:rPr>
          <w:rFonts w:eastAsia="仿宋_GB2312" w:hint="eastAsia"/>
          <w:sz w:val="32"/>
          <w:szCs w:val="32"/>
        </w:rPr>
        <w:t>的政策建议。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lastRenderedPageBreak/>
        <w:t>28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依法规范和引导资本下乡研究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通过深入调研</w:t>
      </w:r>
      <w:r>
        <w:rPr>
          <w:rFonts w:eastAsia="仿宋_GB2312" w:hint="eastAsia"/>
          <w:sz w:val="32"/>
          <w:szCs w:val="32"/>
        </w:rPr>
        <w:t>，总结分析资本下乡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成效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暴露出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风险和</w:t>
      </w:r>
      <w:r>
        <w:rPr>
          <w:rFonts w:eastAsia="仿宋_GB2312" w:hint="eastAsia"/>
          <w:sz w:val="32"/>
          <w:szCs w:val="32"/>
        </w:rPr>
        <w:t>问题</w:t>
      </w:r>
      <w:r>
        <w:rPr>
          <w:rFonts w:eastAsia="仿宋_GB2312"/>
          <w:sz w:val="32"/>
          <w:szCs w:val="32"/>
        </w:rPr>
        <w:t>，下乡资本</w:t>
      </w:r>
      <w:r>
        <w:rPr>
          <w:rFonts w:eastAsia="仿宋_GB2312" w:hint="eastAsia"/>
          <w:sz w:val="32"/>
          <w:szCs w:val="32"/>
        </w:rPr>
        <w:t>面临的</w:t>
      </w:r>
      <w:r>
        <w:rPr>
          <w:rFonts w:eastAsia="仿宋_GB2312"/>
          <w:sz w:val="32"/>
          <w:szCs w:val="32"/>
        </w:rPr>
        <w:t>主要</w:t>
      </w:r>
      <w:r>
        <w:rPr>
          <w:rFonts w:eastAsia="仿宋_GB2312" w:hint="eastAsia"/>
          <w:sz w:val="32"/>
          <w:szCs w:val="32"/>
        </w:rPr>
        <w:t>困难，就</w:t>
      </w:r>
      <w:r>
        <w:rPr>
          <w:rFonts w:eastAsia="仿宋_GB2312"/>
          <w:sz w:val="32"/>
          <w:szCs w:val="32"/>
        </w:rPr>
        <w:t>依法</w:t>
      </w:r>
      <w:r>
        <w:rPr>
          <w:rFonts w:eastAsia="仿宋_GB2312" w:hint="eastAsia"/>
          <w:sz w:val="32"/>
          <w:szCs w:val="32"/>
        </w:rPr>
        <w:t>加强资本下乡</w:t>
      </w:r>
      <w:r>
        <w:rPr>
          <w:rFonts w:eastAsia="仿宋_GB2312"/>
          <w:sz w:val="32"/>
          <w:szCs w:val="32"/>
        </w:rPr>
        <w:t>事前事中事后</w:t>
      </w:r>
      <w:r>
        <w:rPr>
          <w:rFonts w:eastAsia="仿宋_GB2312" w:hint="eastAsia"/>
          <w:sz w:val="32"/>
          <w:szCs w:val="32"/>
        </w:rPr>
        <w:t>全过程监管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改善</w:t>
      </w:r>
      <w:r>
        <w:rPr>
          <w:rFonts w:eastAsia="仿宋_GB2312"/>
          <w:sz w:val="32"/>
          <w:szCs w:val="32"/>
        </w:rPr>
        <w:t>农村</w:t>
      </w:r>
      <w:r>
        <w:rPr>
          <w:rFonts w:eastAsia="仿宋_GB2312" w:hint="eastAsia"/>
          <w:sz w:val="32"/>
          <w:szCs w:val="32"/>
        </w:rPr>
        <w:t>营商环境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稳定资本下乡政策预期</w:t>
      </w:r>
      <w:r>
        <w:rPr>
          <w:rFonts w:eastAsia="仿宋_GB2312"/>
          <w:sz w:val="32"/>
          <w:szCs w:val="32"/>
        </w:rPr>
        <w:t>、更好发挥社会资本作用，</w:t>
      </w:r>
      <w:r>
        <w:rPr>
          <w:rFonts w:eastAsia="仿宋_GB2312" w:hint="eastAsia"/>
          <w:sz w:val="32"/>
          <w:szCs w:val="32"/>
        </w:rPr>
        <w:t>提出针对性政策建议。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29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提升农业科技创新体系整体效能研究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面梳理分析我国农业科技创新体系存在的突出问题，围绕发挥新型举国体制优势、整合各级各类优势科研资源、强化企业科技创新主体地位、构建“梯次分明、分工协作、适度竞争”的农业科技创新体系，提出对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30</w:t>
      </w:r>
      <w:r>
        <w:rPr>
          <w:rFonts w:eastAsia="楷体_GB2312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新型农业经营主体</w:t>
      </w:r>
      <w:r>
        <w:rPr>
          <w:rFonts w:eastAsia="楷体_GB2312" w:hint="eastAsia"/>
          <w:b/>
          <w:sz w:val="32"/>
          <w:szCs w:val="32"/>
        </w:rPr>
        <w:t>金融</w:t>
      </w:r>
      <w:r>
        <w:rPr>
          <w:rFonts w:eastAsia="楷体_GB2312" w:hint="eastAsia"/>
          <w:b/>
          <w:sz w:val="32"/>
          <w:szCs w:val="32"/>
        </w:rPr>
        <w:t>支持</w:t>
      </w:r>
      <w:r>
        <w:rPr>
          <w:rFonts w:eastAsia="楷体_GB2312" w:hint="eastAsia"/>
          <w:b/>
          <w:sz w:val="32"/>
          <w:szCs w:val="32"/>
        </w:rPr>
        <w:t>政策</w:t>
      </w:r>
      <w:r>
        <w:rPr>
          <w:rFonts w:eastAsia="楷体_GB2312" w:hint="eastAsia"/>
          <w:b/>
          <w:sz w:val="32"/>
          <w:szCs w:val="32"/>
        </w:rPr>
        <w:t>创新</w:t>
      </w:r>
      <w:r>
        <w:rPr>
          <w:rFonts w:eastAsia="楷体_GB2312" w:hint="eastAsia"/>
          <w:b/>
          <w:sz w:val="32"/>
          <w:szCs w:val="32"/>
        </w:rPr>
        <w:t>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系统评价当前</w:t>
      </w:r>
      <w:r>
        <w:rPr>
          <w:rFonts w:eastAsia="仿宋_GB2312" w:hint="eastAsia"/>
          <w:sz w:val="32"/>
          <w:szCs w:val="32"/>
        </w:rPr>
        <w:t>新型农业经营主体</w:t>
      </w:r>
      <w:r>
        <w:rPr>
          <w:rFonts w:eastAsia="仿宋_GB2312" w:hint="eastAsia"/>
          <w:sz w:val="32"/>
          <w:szCs w:val="32"/>
        </w:rPr>
        <w:t>金融</w:t>
      </w:r>
      <w:r>
        <w:rPr>
          <w:rFonts w:eastAsia="仿宋_GB2312" w:hint="eastAsia"/>
          <w:sz w:val="32"/>
          <w:szCs w:val="32"/>
        </w:rPr>
        <w:t>支持</w:t>
      </w:r>
      <w:r>
        <w:rPr>
          <w:rFonts w:eastAsia="仿宋_GB2312" w:hint="eastAsia"/>
          <w:sz w:val="32"/>
          <w:szCs w:val="32"/>
        </w:rPr>
        <w:t>政策的执行效果，深入剖析存在的问题及原因，研究提出破解新型农业经营主体</w:t>
      </w:r>
      <w:r>
        <w:rPr>
          <w:rFonts w:eastAsia="仿宋_GB2312"/>
          <w:sz w:val="32"/>
          <w:szCs w:val="32"/>
        </w:rPr>
        <w:t>融资难、融资贵、融资慢等</w:t>
      </w:r>
      <w:r>
        <w:rPr>
          <w:rFonts w:eastAsia="仿宋_GB2312" w:hint="eastAsia"/>
          <w:sz w:val="32"/>
          <w:szCs w:val="32"/>
        </w:rPr>
        <w:t>问题的</w:t>
      </w:r>
      <w:r>
        <w:rPr>
          <w:rFonts w:eastAsia="仿宋_GB2312"/>
          <w:sz w:val="32"/>
          <w:szCs w:val="32"/>
        </w:rPr>
        <w:t>对策</w:t>
      </w:r>
      <w:r>
        <w:rPr>
          <w:rFonts w:eastAsia="仿宋_GB2312" w:hint="eastAsia"/>
          <w:sz w:val="32"/>
          <w:szCs w:val="32"/>
        </w:rPr>
        <w:t>思路和具体政策建议。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31.</w:t>
      </w:r>
      <w:r>
        <w:rPr>
          <w:rFonts w:eastAsia="楷体_GB2312"/>
          <w:b/>
          <w:sz w:val="32"/>
          <w:szCs w:val="32"/>
        </w:rPr>
        <w:t>加强重要农业</w:t>
      </w:r>
      <w:r>
        <w:rPr>
          <w:rFonts w:eastAsia="楷体_GB2312" w:hint="eastAsia"/>
          <w:b/>
          <w:sz w:val="32"/>
          <w:szCs w:val="32"/>
        </w:rPr>
        <w:t>文化遗产保护</w:t>
      </w:r>
      <w:r>
        <w:rPr>
          <w:rFonts w:eastAsia="楷体_GB2312"/>
          <w:b/>
          <w:sz w:val="32"/>
          <w:szCs w:val="32"/>
        </w:rPr>
        <w:t>利用</w:t>
      </w:r>
      <w:r>
        <w:rPr>
          <w:rFonts w:eastAsia="楷体_GB2312" w:hint="eastAsia"/>
          <w:b/>
          <w:sz w:val="32"/>
          <w:szCs w:val="32"/>
        </w:rPr>
        <w:t>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全面梳理</w:t>
      </w:r>
      <w:r>
        <w:rPr>
          <w:rFonts w:eastAsia="仿宋_GB2312" w:hint="eastAsia"/>
          <w:sz w:val="32"/>
          <w:szCs w:val="32"/>
        </w:rPr>
        <w:t>我国不同类型农业文化遗产申报认定、保护利用的现状与问题，</w:t>
      </w:r>
      <w:r>
        <w:rPr>
          <w:rFonts w:eastAsia="仿宋_GB2312"/>
          <w:sz w:val="32"/>
          <w:szCs w:val="32"/>
        </w:rPr>
        <w:t>坚持在发掘中保护、在利用中传承，</w:t>
      </w:r>
      <w:r>
        <w:rPr>
          <w:rFonts w:eastAsia="仿宋_GB2312" w:hint="eastAsia"/>
          <w:sz w:val="32"/>
          <w:szCs w:val="32"/>
        </w:rPr>
        <w:t>借鉴国内外先进经验，就</w:t>
      </w:r>
      <w:r>
        <w:rPr>
          <w:rFonts w:eastAsia="仿宋_GB2312"/>
          <w:sz w:val="32"/>
          <w:szCs w:val="32"/>
        </w:rPr>
        <w:t>不断推进我国农业文化遗产保护实践</w:t>
      </w:r>
      <w:r>
        <w:rPr>
          <w:rFonts w:eastAsia="仿宋_GB2312" w:hint="eastAsia"/>
          <w:sz w:val="32"/>
          <w:szCs w:val="32"/>
        </w:rPr>
        <w:t>提出</w:t>
      </w:r>
      <w:r>
        <w:rPr>
          <w:rFonts w:eastAsia="仿宋_GB2312"/>
          <w:sz w:val="32"/>
          <w:szCs w:val="32"/>
        </w:rPr>
        <w:t>针对性</w:t>
      </w:r>
      <w:r>
        <w:rPr>
          <w:rFonts w:eastAsia="仿宋_GB2312" w:hint="eastAsia"/>
          <w:sz w:val="32"/>
          <w:szCs w:val="32"/>
        </w:rPr>
        <w:t>政策建议。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3</w:t>
      </w:r>
      <w:r>
        <w:rPr>
          <w:rFonts w:eastAsia="楷体_GB2312" w:hint="eastAsia"/>
          <w:b/>
          <w:bCs/>
          <w:sz w:val="32"/>
          <w:szCs w:val="32"/>
        </w:rPr>
        <w:t>2</w:t>
      </w:r>
      <w:r>
        <w:rPr>
          <w:rFonts w:eastAsia="楷体_GB2312"/>
          <w:b/>
          <w:bCs/>
          <w:sz w:val="32"/>
          <w:szCs w:val="32"/>
        </w:rPr>
        <w:t>.</w:t>
      </w:r>
      <w:r>
        <w:rPr>
          <w:rFonts w:eastAsia="楷体_GB2312"/>
          <w:b/>
          <w:bCs/>
          <w:sz w:val="32"/>
          <w:szCs w:val="32"/>
        </w:rPr>
        <w:t>完善</w:t>
      </w:r>
      <w:r>
        <w:rPr>
          <w:rFonts w:eastAsia="楷体_GB2312"/>
          <w:b/>
          <w:bCs/>
          <w:sz w:val="32"/>
          <w:szCs w:val="32"/>
        </w:rPr>
        <w:t>人才下乡</w:t>
      </w:r>
      <w:r>
        <w:rPr>
          <w:rFonts w:eastAsia="楷体_GB2312"/>
          <w:b/>
          <w:bCs/>
          <w:sz w:val="32"/>
          <w:szCs w:val="32"/>
        </w:rPr>
        <w:t>入乡</w:t>
      </w:r>
      <w:r>
        <w:rPr>
          <w:rFonts w:eastAsia="楷体_GB2312"/>
          <w:b/>
          <w:bCs/>
          <w:sz w:val="32"/>
          <w:szCs w:val="32"/>
        </w:rPr>
        <w:t>政策保障</w:t>
      </w:r>
      <w:r>
        <w:rPr>
          <w:rFonts w:eastAsia="楷体_GB2312"/>
          <w:b/>
          <w:bCs/>
          <w:sz w:val="32"/>
          <w:szCs w:val="32"/>
        </w:rPr>
        <w:t>机制</w:t>
      </w:r>
      <w:r>
        <w:rPr>
          <w:rFonts w:eastAsia="楷体_GB2312"/>
          <w:b/>
          <w:bCs/>
          <w:sz w:val="32"/>
          <w:szCs w:val="32"/>
        </w:rPr>
        <w:t>研究</w:t>
      </w:r>
    </w:p>
    <w:p w:rsidR="003A451F" w:rsidRDefault="00BF159F">
      <w:pPr>
        <w:numPr>
          <w:ilvl w:val="255"/>
          <w:numId w:val="0"/>
        </w:num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通过深入调研，系统梳理</w:t>
      </w:r>
      <w:r>
        <w:rPr>
          <w:rFonts w:eastAsia="仿宋_GB2312" w:hint="eastAsia"/>
          <w:sz w:val="32"/>
          <w:szCs w:val="32"/>
        </w:rPr>
        <w:t>大学毕业生到乡、能人回乡、农民工返乡、企业家入乡</w:t>
      </w:r>
      <w:r>
        <w:rPr>
          <w:rFonts w:eastAsia="仿宋_GB2312"/>
          <w:sz w:val="32"/>
          <w:szCs w:val="32"/>
        </w:rPr>
        <w:t>的现状和问题，按照本土培养和外部引</w:t>
      </w:r>
      <w:r>
        <w:rPr>
          <w:rFonts w:eastAsia="仿宋_GB2312"/>
          <w:sz w:val="32"/>
          <w:szCs w:val="32"/>
        </w:rPr>
        <w:lastRenderedPageBreak/>
        <w:t>进相结合的思路，树立阶段性用才理念，提出</w:t>
      </w:r>
      <w:r>
        <w:rPr>
          <w:rFonts w:eastAsia="仿宋_GB2312" w:hint="eastAsia"/>
          <w:sz w:val="32"/>
          <w:szCs w:val="32"/>
        </w:rPr>
        <w:t>有序引导和激励</w:t>
      </w:r>
      <w:r>
        <w:rPr>
          <w:rFonts w:eastAsia="仿宋_GB2312"/>
          <w:sz w:val="32"/>
          <w:szCs w:val="32"/>
        </w:rPr>
        <w:t>各类人才下乡入乡</w:t>
      </w:r>
      <w:r>
        <w:rPr>
          <w:rFonts w:eastAsia="仿宋_GB2312" w:hint="eastAsia"/>
          <w:sz w:val="32"/>
          <w:szCs w:val="32"/>
        </w:rPr>
        <w:t>的有效路径和政策机制。</w:t>
      </w:r>
    </w:p>
    <w:p w:rsidR="003A451F" w:rsidRDefault="00BF159F" w:rsidP="00425BC9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3</w:t>
      </w:r>
      <w:r>
        <w:rPr>
          <w:rFonts w:eastAsia="楷体_GB2312" w:hint="eastAsia"/>
          <w:b/>
          <w:bCs/>
          <w:sz w:val="32"/>
          <w:szCs w:val="32"/>
        </w:rPr>
        <w:t>3</w:t>
      </w:r>
      <w:r>
        <w:rPr>
          <w:rFonts w:eastAsia="楷体_GB2312"/>
          <w:b/>
          <w:bCs/>
          <w:sz w:val="32"/>
          <w:szCs w:val="32"/>
        </w:rPr>
        <w:t>.</w:t>
      </w:r>
      <w:r>
        <w:rPr>
          <w:rFonts w:eastAsia="楷体_GB2312"/>
          <w:b/>
          <w:bCs/>
          <w:sz w:val="32"/>
          <w:szCs w:val="32"/>
        </w:rPr>
        <w:t>乡村振兴考核督查机制研究</w:t>
      </w:r>
    </w:p>
    <w:p w:rsidR="003A451F" w:rsidRDefault="00BF159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结合“三农”工作特点和实施乡村振兴战略需要，梳理有关</w:t>
      </w:r>
      <w:r>
        <w:rPr>
          <w:rFonts w:eastAsia="仿宋_GB2312"/>
          <w:sz w:val="32"/>
          <w:szCs w:val="32"/>
        </w:rPr>
        <w:t>领域和部门</w:t>
      </w:r>
      <w:r>
        <w:rPr>
          <w:rFonts w:eastAsia="仿宋_GB2312" w:hint="eastAsia"/>
          <w:sz w:val="32"/>
          <w:szCs w:val="32"/>
        </w:rPr>
        <w:t>考核</w:t>
      </w:r>
      <w:r>
        <w:rPr>
          <w:rFonts w:eastAsia="仿宋_GB2312"/>
          <w:sz w:val="32"/>
          <w:szCs w:val="32"/>
        </w:rPr>
        <w:t>督查的</w:t>
      </w:r>
      <w:r>
        <w:rPr>
          <w:rFonts w:eastAsia="仿宋_GB2312" w:hint="eastAsia"/>
          <w:sz w:val="32"/>
          <w:szCs w:val="32"/>
        </w:rPr>
        <w:t>经验做法，</w:t>
      </w:r>
      <w:r>
        <w:rPr>
          <w:rFonts w:eastAsia="仿宋_GB2312"/>
          <w:sz w:val="32"/>
          <w:szCs w:val="32"/>
        </w:rPr>
        <w:t>就</w:t>
      </w:r>
      <w:r>
        <w:rPr>
          <w:rFonts w:eastAsia="仿宋_GB2312" w:hint="eastAsia"/>
          <w:sz w:val="32"/>
          <w:szCs w:val="32"/>
        </w:rPr>
        <w:t>完善乡村振兴战略实绩考核机制，优化考核督查指标体系、步骤流程、结果运用等，提出针对性的政策建议。</w:t>
      </w:r>
    </w:p>
    <w:p w:rsidR="003A451F" w:rsidRDefault="003A451F">
      <w:pPr>
        <w:pStyle w:val="BodyText"/>
      </w:pPr>
    </w:p>
    <w:sectPr w:rsidR="003A451F">
      <w:footerReference w:type="even" r:id="rId8"/>
      <w:footerReference w:type="default" r:id="rId9"/>
      <w:pgSz w:w="11906" w:h="16838"/>
      <w:pgMar w:top="1440" w:right="1588" w:bottom="1440" w:left="1588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9F" w:rsidRDefault="00BF159F">
      <w:r>
        <w:separator/>
      </w:r>
    </w:p>
  </w:endnote>
  <w:endnote w:type="continuationSeparator" w:id="0">
    <w:p w:rsidR="00BF159F" w:rsidRDefault="00BF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1F" w:rsidRDefault="00BF159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3A451F" w:rsidRDefault="003A45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1F" w:rsidRDefault="00BF159F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425BC9">
      <w:rPr>
        <w:rStyle w:val="a8"/>
        <w:noProof/>
      </w:rPr>
      <w:t>- 1 -</w:t>
    </w:r>
    <w:r>
      <w:fldChar w:fldCharType="end"/>
    </w:r>
  </w:p>
  <w:p w:rsidR="003A451F" w:rsidRDefault="003A45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9F" w:rsidRDefault="00BF159F">
      <w:r>
        <w:separator/>
      </w:r>
    </w:p>
  </w:footnote>
  <w:footnote w:type="continuationSeparator" w:id="0">
    <w:p w:rsidR="00BF159F" w:rsidRDefault="00BF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0A"/>
    <w:rsid w:val="877FC32F"/>
    <w:rsid w:val="9BCECE1A"/>
    <w:rsid w:val="9ECFB15C"/>
    <w:rsid w:val="9F2482DB"/>
    <w:rsid w:val="A2EA9A23"/>
    <w:rsid w:val="BD3B8222"/>
    <w:rsid w:val="BDBEBFB7"/>
    <w:rsid w:val="BEBDD37A"/>
    <w:rsid w:val="CF515B12"/>
    <w:rsid w:val="CFFF80F3"/>
    <w:rsid w:val="D6ABC459"/>
    <w:rsid w:val="DB8FF4AC"/>
    <w:rsid w:val="EBD9D621"/>
    <w:rsid w:val="EDA9C99A"/>
    <w:rsid w:val="EFFAAE2B"/>
    <w:rsid w:val="F2BF476E"/>
    <w:rsid w:val="F37B4A54"/>
    <w:rsid w:val="F7F75325"/>
    <w:rsid w:val="FCE4CD58"/>
    <w:rsid w:val="FFBB2420"/>
    <w:rsid w:val="FFBF06EB"/>
    <w:rsid w:val="FFFFDC24"/>
    <w:rsid w:val="00002F99"/>
    <w:rsid w:val="000040E6"/>
    <w:rsid w:val="00004DD0"/>
    <w:rsid w:val="0000765D"/>
    <w:rsid w:val="0001270B"/>
    <w:rsid w:val="00017654"/>
    <w:rsid w:val="00024EFE"/>
    <w:rsid w:val="00026DCC"/>
    <w:rsid w:val="0002759C"/>
    <w:rsid w:val="000332A9"/>
    <w:rsid w:val="00036B9C"/>
    <w:rsid w:val="00036C0D"/>
    <w:rsid w:val="00042762"/>
    <w:rsid w:val="000429B6"/>
    <w:rsid w:val="000438C0"/>
    <w:rsid w:val="000539F4"/>
    <w:rsid w:val="00057240"/>
    <w:rsid w:val="0007381A"/>
    <w:rsid w:val="00075761"/>
    <w:rsid w:val="00083E8F"/>
    <w:rsid w:val="00085650"/>
    <w:rsid w:val="00092589"/>
    <w:rsid w:val="000945A8"/>
    <w:rsid w:val="000A1BB5"/>
    <w:rsid w:val="000B1BDE"/>
    <w:rsid w:val="000B566A"/>
    <w:rsid w:val="000B5F60"/>
    <w:rsid w:val="000C3A84"/>
    <w:rsid w:val="000C618F"/>
    <w:rsid w:val="000E06B7"/>
    <w:rsid w:val="000E2F5D"/>
    <w:rsid w:val="00101194"/>
    <w:rsid w:val="00114F09"/>
    <w:rsid w:val="001157BB"/>
    <w:rsid w:val="001219D6"/>
    <w:rsid w:val="00122969"/>
    <w:rsid w:val="00125F5C"/>
    <w:rsid w:val="0013129C"/>
    <w:rsid w:val="001341E9"/>
    <w:rsid w:val="00140CCB"/>
    <w:rsid w:val="00146A80"/>
    <w:rsid w:val="00147441"/>
    <w:rsid w:val="001479D6"/>
    <w:rsid w:val="00152072"/>
    <w:rsid w:val="0015404B"/>
    <w:rsid w:val="00160C21"/>
    <w:rsid w:val="001612AD"/>
    <w:rsid w:val="0018167B"/>
    <w:rsid w:val="0018380C"/>
    <w:rsid w:val="00184093"/>
    <w:rsid w:val="00187923"/>
    <w:rsid w:val="00190A11"/>
    <w:rsid w:val="00197F60"/>
    <w:rsid w:val="001A7CD2"/>
    <w:rsid w:val="001B2773"/>
    <w:rsid w:val="001B303B"/>
    <w:rsid w:val="001B54E3"/>
    <w:rsid w:val="001C19CB"/>
    <w:rsid w:val="001D25B9"/>
    <w:rsid w:val="001D4B62"/>
    <w:rsid w:val="001D6365"/>
    <w:rsid w:val="001D7541"/>
    <w:rsid w:val="001E0A72"/>
    <w:rsid w:val="001E267E"/>
    <w:rsid w:val="001F2012"/>
    <w:rsid w:val="001F24E5"/>
    <w:rsid w:val="002066BB"/>
    <w:rsid w:val="002158F5"/>
    <w:rsid w:val="00215D58"/>
    <w:rsid w:val="0022152B"/>
    <w:rsid w:val="002309DD"/>
    <w:rsid w:val="00231731"/>
    <w:rsid w:val="00233E4D"/>
    <w:rsid w:val="002526D8"/>
    <w:rsid w:val="002602BD"/>
    <w:rsid w:val="00263A5D"/>
    <w:rsid w:val="00271A9B"/>
    <w:rsid w:val="002734A4"/>
    <w:rsid w:val="00274283"/>
    <w:rsid w:val="002742AC"/>
    <w:rsid w:val="00280597"/>
    <w:rsid w:val="00295775"/>
    <w:rsid w:val="002B0418"/>
    <w:rsid w:val="002B3079"/>
    <w:rsid w:val="002B6C47"/>
    <w:rsid w:val="002C37CB"/>
    <w:rsid w:val="002C4EC5"/>
    <w:rsid w:val="002C5F0A"/>
    <w:rsid w:val="002C6320"/>
    <w:rsid w:val="002E1D92"/>
    <w:rsid w:val="002E7B81"/>
    <w:rsid w:val="002F0347"/>
    <w:rsid w:val="002F321F"/>
    <w:rsid w:val="002F42E4"/>
    <w:rsid w:val="00300522"/>
    <w:rsid w:val="00303345"/>
    <w:rsid w:val="00305FED"/>
    <w:rsid w:val="00313459"/>
    <w:rsid w:val="00324077"/>
    <w:rsid w:val="003243FC"/>
    <w:rsid w:val="00325081"/>
    <w:rsid w:val="0033021D"/>
    <w:rsid w:val="0033240A"/>
    <w:rsid w:val="00340CD1"/>
    <w:rsid w:val="00344587"/>
    <w:rsid w:val="00347858"/>
    <w:rsid w:val="00354740"/>
    <w:rsid w:val="00355BB8"/>
    <w:rsid w:val="00361EBC"/>
    <w:rsid w:val="003660F6"/>
    <w:rsid w:val="003672AA"/>
    <w:rsid w:val="0037168D"/>
    <w:rsid w:val="00384EC7"/>
    <w:rsid w:val="00391877"/>
    <w:rsid w:val="00391C84"/>
    <w:rsid w:val="0039584D"/>
    <w:rsid w:val="003A451F"/>
    <w:rsid w:val="003A615F"/>
    <w:rsid w:val="003B31E1"/>
    <w:rsid w:val="003B5DE6"/>
    <w:rsid w:val="003C2DD0"/>
    <w:rsid w:val="003C6A4F"/>
    <w:rsid w:val="003D01E6"/>
    <w:rsid w:val="003D0D77"/>
    <w:rsid w:val="003D4A11"/>
    <w:rsid w:val="003E5255"/>
    <w:rsid w:val="003F026C"/>
    <w:rsid w:val="003F5D91"/>
    <w:rsid w:val="00404C37"/>
    <w:rsid w:val="00412D1C"/>
    <w:rsid w:val="00421DCD"/>
    <w:rsid w:val="00425BC9"/>
    <w:rsid w:val="0043371F"/>
    <w:rsid w:val="00436029"/>
    <w:rsid w:val="00442946"/>
    <w:rsid w:val="004440EE"/>
    <w:rsid w:val="00444589"/>
    <w:rsid w:val="00450D79"/>
    <w:rsid w:val="00451C83"/>
    <w:rsid w:val="00453E4B"/>
    <w:rsid w:val="0047352A"/>
    <w:rsid w:val="00485A64"/>
    <w:rsid w:val="00485D5D"/>
    <w:rsid w:val="00487970"/>
    <w:rsid w:val="004A085E"/>
    <w:rsid w:val="004A4057"/>
    <w:rsid w:val="004B34DA"/>
    <w:rsid w:val="004B47CC"/>
    <w:rsid w:val="004C0C94"/>
    <w:rsid w:val="004D1C44"/>
    <w:rsid w:val="004D7B11"/>
    <w:rsid w:val="004E4673"/>
    <w:rsid w:val="004F08A9"/>
    <w:rsid w:val="004F2DAB"/>
    <w:rsid w:val="004F7E9C"/>
    <w:rsid w:val="0050606D"/>
    <w:rsid w:val="00506621"/>
    <w:rsid w:val="00514326"/>
    <w:rsid w:val="00514A32"/>
    <w:rsid w:val="00514BD1"/>
    <w:rsid w:val="00532101"/>
    <w:rsid w:val="00532200"/>
    <w:rsid w:val="005531CE"/>
    <w:rsid w:val="00554818"/>
    <w:rsid w:val="00554C7A"/>
    <w:rsid w:val="00555B7D"/>
    <w:rsid w:val="0057149E"/>
    <w:rsid w:val="0057654F"/>
    <w:rsid w:val="0059745E"/>
    <w:rsid w:val="005A16F1"/>
    <w:rsid w:val="005A1A63"/>
    <w:rsid w:val="005A6D23"/>
    <w:rsid w:val="005B1C84"/>
    <w:rsid w:val="005B26F1"/>
    <w:rsid w:val="005B5501"/>
    <w:rsid w:val="005C0B8D"/>
    <w:rsid w:val="005C2553"/>
    <w:rsid w:val="005D0584"/>
    <w:rsid w:val="005D1B9B"/>
    <w:rsid w:val="005D393B"/>
    <w:rsid w:val="005E0CD9"/>
    <w:rsid w:val="005E3A48"/>
    <w:rsid w:val="005E7D37"/>
    <w:rsid w:val="005F47B2"/>
    <w:rsid w:val="006040C2"/>
    <w:rsid w:val="006054B0"/>
    <w:rsid w:val="00607100"/>
    <w:rsid w:val="00607844"/>
    <w:rsid w:val="00610A52"/>
    <w:rsid w:val="0061431D"/>
    <w:rsid w:val="0061712A"/>
    <w:rsid w:val="006212BD"/>
    <w:rsid w:val="006254FE"/>
    <w:rsid w:val="006307AD"/>
    <w:rsid w:val="00633461"/>
    <w:rsid w:val="00633D46"/>
    <w:rsid w:val="00637D0F"/>
    <w:rsid w:val="0065464B"/>
    <w:rsid w:val="0065528B"/>
    <w:rsid w:val="00657412"/>
    <w:rsid w:val="006604B6"/>
    <w:rsid w:val="00666E51"/>
    <w:rsid w:val="0068207D"/>
    <w:rsid w:val="0068388C"/>
    <w:rsid w:val="0069362C"/>
    <w:rsid w:val="00695255"/>
    <w:rsid w:val="006A00D3"/>
    <w:rsid w:val="006A3628"/>
    <w:rsid w:val="006D0A3B"/>
    <w:rsid w:val="006D42F4"/>
    <w:rsid w:val="006E7974"/>
    <w:rsid w:val="00700199"/>
    <w:rsid w:val="007263E0"/>
    <w:rsid w:val="007276F1"/>
    <w:rsid w:val="00731209"/>
    <w:rsid w:val="00740BE8"/>
    <w:rsid w:val="00766458"/>
    <w:rsid w:val="0077714D"/>
    <w:rsid w:val="00786222"/>
    <w:rsid w:val="007874A1"/>
    <w:rsid w:val="00795880"/>
    <w:rsid w:val="007A0B55"/>
    <w:rsid w:val="007A0EDA"/>
    <w:rsid w:val="007A20F1"/>
    <w:rsid w:val="007A677B"/>
    <w:rsid w:val="007B3328"/>
    <w:rsid w:val="007B450B"/>
    <w:rsid w:val="007D10D1"/>
    <w:rsid w:val="007D4BEF"/>
    <w:rsid w:val="007D55F6"/>
    <w:rsid w:val="007E1C32"/>
    <w:rsid w:val="007E2C7D"/>
    <w:rsid w:val="007E4337"/>
    <w:rsid w:val="007F0725"/>
    <w:rsid w:val="007F67CB"/>
    <w:rsid w:val="007F7EF1"/>
    <w:rsid w:val="00804293"/>
    <w:rsid w:val="00807A5D"/>
    <w:rsid w:val="00811796"/>
    <w:rsid w:val="008168F7"/>
    <w:rsid w:val="0082143B"/>
    <w:rsid w:val="00830E52"/>
    <w:rsid w:val="008322B6"/>
    <w:rsid w:val="00835559"/>
    <w:rsid w:val="00842B07"/>
    <w:rsid w:val="00850B2C"/>
    <w:rsid w:val="008647F4"/>
    <w:rsid w:val="00871FCD"/>
    <w:rsid w:val="00872701"/>
    <w:rsid w:val="00873402"/>
    <w:rsid w:val="008776DA"/>
    <w:rsid w:val="00881B89"/>
    <w:rsid w:val="00883C07"/>
    <w:rsid w:val="008841A1"/>
    <w:rsid w:val="0088791E"/>
    <w:rsid w:val="00895452"/>
    <w:rsid w:val="008A20CE"/>
    <w:rsid w:val="008A50FD"/>
    <w:rsid w:val="008B014A"/>
    <w:rsid w:val="008C07E4"/>
    <w:rsid w:val="008C3A0C"/>
    <w:rsid w:val="008D4173"/>
    <w:rsid w:val="008D52D3"/>
    <w:rsid w:val="008D58D2"/>
    <w:rsid w:val="008E6FDD"/>
    <w:rsid w:val="00903392"/>
    <w:rsid w:val="0090498E"/>
    <w:rsid w:val="009119C8"/>
    <w:rsid w:val="00920AAC"/>
    <w:rsid w:val="0092740D"/>
    <w:rsid w:val="00931DEE"/>
    <w:rsid w:val="00944C90"/>
    <w:rsid w:val="009461F8"/>
    <w:rsid w:val="009535B1"/>
    <w:rsid w:val="009556BE"/>
    <w:rsid w:val="009577E6"/>
    <w:rsid w:val="009622F9"/>
    <w:rsid w:val="00964292"/>
    <w:rsid w:val="009742F2"/>
    <w:rsid w:val="009807EB"/>
    <w:rsid w:val="00983343"/>
    <w:rsid w:val="00983806"/>
    <w:rsid w:val="009866AE"/>
    <w:rsid w:val="00992AA5"/>
    <w:rsid w:val="00997214"/>
    <w:rsid w:val="009A069B"/>
    <w:rsid w:val="009A7D95"/>
    <w:rsid w:val="009C146A"/>
    <w:rsid w:val="009C18F3"/>
    <w:rsid w:val="009C45B7"/>
    <w:rsid w:val="009C660A"/>
    <w:rsid w:val="009D31B4"/>
    <w:rsid w:val="009E2D79"/>
    <w:rsid w:val="009E739A"/>
    <w:rsid w:val="009F5FB0"/>
    <w:rsid w:val="00A0007D"/>
    <w:rsid w:val="00A079AE"/>
    <w:rsid w:val="00A10CEA"/>
    <w:rsid w:val="00A12988"/>
    <w:rsid w:val="00A15BFA"/>
    <w:rsid w:val="00A20696"/>
    <w:rsid w:val="00A20C1F"/>
    <w:rsid w:val="00A2407F"/>
    <w:rsid w:val="00A26C4E"/>
    <w:rsid w:val="00A31004"/>
    <w:rsid w:val="00A3716A"/>
    <w:rsid w:val="00A437B7"/>
    <w:rsid w:val="00A444E2"/>
    <w:rsid w:val="00A45906"/>
    <w:rsid w:val="00A51092"/>
    <w:rsid w:val="00A76710"/>
    <w:rsid w:val="00A85E0C"/>
    <w:rsid w:val="00AA4AB3"/>
    <w:rsid w:val="00AA6F84"/>
    <w:rsid w:val="00AA773B"/>
    <w:rsid w:val="00AB1003"/>
    <w:rsid w:val="00AC1669"/>
    <w:rsid w:val="00AC48DE"/>
    <w:rsid w:val="00AC4908"/>
    <w:rsid w:val="00AD4FE7"/>
    <w:rsid w:val="00AF0DE8"/>
    <w:rsid w:val="00AF1714"/>
    <w:rsid w:val="00AF1822"/>
    <w:rsid w:val="00AF29B1"/>
    <w:rsid w:val="00AF30C7"/>
    <w:rsid w:val="00AF3846"/>
    <w:rsid w:val="00B031A0"/>
    <w:rsid w:val="00B1456C"/>
    <w:rsid w:val="00B22838"/>
    <w:rsid w:val="00B24191"/>
    <w:rsid w:val="00B27246"/>
    <w:rsid w:val="00B310FB"/>
    <w:rsid w:val="00B33366"/>
    <w:rsid w:val="00B47923"/>
    <w:rsid w:val="00B553D0"/>
    <w:rsid w:val="00B56B87"/>
    <w:rsid w:val="00B570A7"/>
    <w:rsid w:val="00B6085B"/>
    <w:rsid w:val="00B64752"/>
    <w:rsid w:val="00B67735"/>
    <w:rsid w:val="00B8546B"/>
    <w:rsid w:val="00B92832"/>
    <w:rsid w:val="00BA4AE2"/>
    <w:rsid w:val="00BA7344"/>
    <w:rsid w:val="00BB1532"/>
    <w:rsid w:val="00BB2B39"/>
    <w:rsid w:val="00BC3DC2"/>
    <w:rsid w:val="00BD02E1"/>
    <w:rsid w:val="00BD07EA"/>
    <w:rsid w:val="00BD087D"/>
    <w:rsid w:val="00BD6ECB"/>
    <w:rsid w:val="00BE11D2"/>
    <w:rsid w:val="00BE418E"/>
    <w:rsid w:val="00BE50E7"/>
    <w:rsid w:val="00BE5AD5"/>
    <w:rsid w:val="00BF159F"/>
    <w:rsid w:val="00BF38B7"/>
    <w:rsid w:val="00C03251"/>
    <w:rsid w:val="00C174BB"/>
    <w:rsid w:val="00C21DCC"/>
    <w:rsid w:val="00C2481F"/>
    <w:rsid w:val="00C24E04"/>
    <w:rsid w:val="00C26FFE"/>
    <w:rsid w:val="00C30ED5"/>
    <w:rsid w:val="00C31824"/>
    <w:rsid w:val="00C34FEF"/>
    <w:rsid w:val="00C35B0D"/>
    <w:rsid w:val="00C4231F"/>
    <w:rsid w:val="00C428EF"/>
    <w:rsid w:val="00C4324E"/>
    <w:rsid w:val="00C52343"/>
    <w:rsid w:val="00C55604"/>
    <w:rsid w:val="00C55DF8"/>
    <w:rsid w:val="00C57647"/>
    <w:rsid w:val="00C60951"/>
    <w:rsid w:val="00C70696"/>
    <w:rsid w:val="00C74185"/>
    <w:rsid w:val="00C7607F"/>
    <w:rsid w:val="00C86123"/>
    <w:rsid w:val="00C91B1B"/>
    <w:rsid w:val="00C93BED"/>
    <w:rsid w:val="00CA50D9"/>
    <w:rsid w:val="00CA55FE"/>
    <w:rsid w:val="00CA76F4"/>
    <w:rsid w:val="00CB695D"/>
    <w:rsid w:val="00CC3A04"/>
    <w:rsid w:val="00CC665E"/>
    <w:rsid w:val="00CD030E"/>
    <w:rsid w:val="00CD1CA5"/>
    <w:rsid w:val="00CD5859"/>
    <w:rsid w:val="00CF2291"/>
    <w:rsid w:val="00CF236C"/>
    <w:rsid w:val="00CF2C68"/>
    <w:rsid w:val="00CF77D3"/>
    <w:rsid w:val="00D007E6"/>
    <w:rsid w:val="00D07FF0"/>
    <w:rsid w:val="00D118BC"/>
    <w:rsid w:val="00D12AA9"/>
    <w:rsid w:val="00D140D6"/>
    <w:rsid w:val="00D278F6"/>
    <w:rsid w:val="00D35769"/>
    <w:rsid w:val="00D40A58"/>
    <w:rsid w:val="00D41C9E"/>
    <w:rsid w:val="00D42BFE"/>
    <w:rsid w:val="00D47D08"/>
    <w:rsid w:val="00D50BCB"/>
    <w:rsid w:val="00D538E5"/>
    <w:rsid w:val="00D55094"/>
    <w:rsid w:val="00D55C36"/>
    <w:rsid w:val="00D63077"/>
    <w:rsid w:val="00D6736E"/>
    <w:rsid w:val="00D723FD"/>
    <w:rsid w:val="00D75203"/>
    <w:rsid w:val="00D75B1E"/>
    <w:rsid w:val="00DA5E80"/>
    <w:rsid w:val="00DB7782"/>
    <w:rsid w:val="00DC12E6"/>
    <w:rsid w:val="00DC4EE3"/>
    <w:rsid w:val="00DC5AAF"/>
    <w:rsid w:val="00DC72A2"/>
    <w:rsid w:val="00DD45E5"/>
    <w:rsid w:val="00DE1B1C"/>
    <w:rsid w:val="00DF0A67"/>
    <w:rsid w:val="00DF7F96"/>
    <w:rsid w:val="00E04D8D"/>
    <w:rsid w:val="00E10976"/>
    <w:rsid w:val="00E11C59"/>
    <w:rsid w:val="00E12990"/>
    <w:rsid w:val="00E1544E"/>
    <w:rsid w:val="00E20155"/>
    <w:rsid w:val="00E2016B"/>
    <w:rsid w:val="00E25547"/>
    <w:rsid w:val="00E25D7A"/>
    <w:rsid w:val="00E27688"/>
    <w:rsid w:val="00E31D17"/>
    <w:rsid w:val="00E31EF8"/>
    <w:rsid w:val="00E321AB"/>
    <w:rsid w:val="00E33F6F"/>
    <w:rsid w:val="00E35B8C"/>
    <w:rsid w:val="00E430FA"/>
    <w:rsid w:val="00E452C5"/>
    <w:rsid w:val="00E47CCB"/>
    <w:rsid w:val="00E52CF6"/>
    <w:rsid w:val="00E55DD7"/>
    <w:rsid w:val="00E604A6"/>
    <w:rsid w:val="00E61F9E"/>
    <w:rsid w:val="00E62701"/>
    <w:rsid w:val="00E656AC"/>
    <w:rsid w:val="00E67D87"/>
    <w:rsid w:val="00E72F62"/>
    <w:rsid w:val="00E75CF0"/>
    <w:rsid w:val="00E81ABE"/>
    <w:rsid w:val="00E81C89"/>
    <w:rsid w:val="00E82493"/>
    <w:rsid w:val="00E829FB"/>
    <w:rsid w:val="00E8448F"/>
    <w:rsid w:val="00E92317"/>
    <w:rsid w:val="00E958A7"/>
    <w:rsid w:val="00EA3369"/>
    <w:rsid w:val="00EB37C2"/>
    <w:rsid w:val="00EB5AA9"/>
    <w:rsid w:val="00ED5F3F"/>
    <w:rsid w:val="00EE06AA"/>
    <w:rsid w:val="00EE30DF"/>
    <w:rsid w:val="00EF371F"/>
    <w:rsid w:val="00EF62B4"/>
    <w:rsid w:val="00EF6D69"/>
    <w:rsid w:val="00F02A2D"/>
    <w:rsid w:val="00F076F0"/>
    <w:rsid w:val="00F10BAF"/>
    <w:rsid w:val="00F12DFC"/>
    <w:rsid w:val="00F16410"/>
    <w:rsid w:val="00F171BB"/>
    <w:rsid w:val="00F21919"/>
    <w:rsid w:val="00F23141"/>
    <w:rsid w:val="00F258C8"/>
    <w:rsid w:val="00F33F31"/>
    <w:rsid w:val="00F34D2C"/>
    <w:rsid w:val="00F373C1"/>
    <w:rsid w:val="00F421F4"/>
    <w:rsid w:val="00F5000A"/>
    <w:rsid w:val="00F53C45"/>
    <w:rsid w:val="00F60CC7"/>
    <w:rsid w:val="00F646C2"/>
    <w:rsid w:val="00F860CF"/>
    <w:rsid w:val="00F869E5"/>
    <w:rsid w:val="00F926F8"/>
    <w:rsid w:val="00F92AF2"/>
    <w:rsid w:val="00F95E9F"/>
    <w:rsid w:val="00FA01A9"/>
    <w:rsid w:val="00FA42EC"/>
    <w:rsid w:val="00FC0DD2"/>
    <w:rsid w:val="00FC4522"/>
    <w:rsid w:val="00FD06C0"/>
    <w:rsid w:val="00FD31E9"/>
    <w:rsid w:val="00FE05B4"/>
    <w:rsid w:val="00FE7968"/>
    <w:rsid w:val="167FEB72"/>
    <w:rsid w:val="1CDB03AA"/>
    <w:rsid w:val="1D3A1653"/>
    <w:rsid w:val="1D6A513D"/>
    <w:rsid w:val="1EBE54F9"/>
    <w:rsid w:val="1FFF26B6"/>
    <w:rsid w:val="28EC6821"/>
    <w:rsid w:val="2AFA2453"/>
    <w:rsid w:val="2CFEFC82"/>
    <w:rsid w:val="2E312214"/>
    <w:rsid w:val="2EE4300A"/>
    <w:rsid w:val="4AAA0809"/>
    <w:rsid w:val="4DCA0FAD"/>
    <w:rsid w:val="4F575F14"/>
    <w:rsid w:val="52FD237A"/>
    <w:rsid w:val="53DDC446"/>
    <w:rsid w:val="5957938C"/>
    <w:rsid w:val="59F3CB96"/>
    <w:rsid w:val="5FD73028"/>
    <w:rsid w:val="67CF348E"/>
    <w:rsid w:val="67FFA73A"/>
    <w:rsid w:val="6BE9B3CC"/>
    <w:rsid w:val="6DCF4B32"/>
    <w:rsid w:val="6FDD986E"/>
    <w:rsid w:val="737BD05A"/>
    <w:rsid w:val="73F3BDBC"/>
    <w:rsid w:val="75450131"/>
    <w:rsid w:val="77F77A9A"/>
    <w:rsid w:val="79D06885"/>
    <w:rsid w:val="7ABFFDF9"/>
    <w:rsid w:val="7BDF721B"/>
    <w:rsid w:val="7DA80FD8"/>
    <w:rsid w:val="7DF7486B"/>
    <w:rsid w:val="7FFF774C"/>
    <w:rsid w:val="7FFFB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  <w:textAlignment w:val="baseline"/>
    </w:pPr>
    <w:rPr>
      <w:rFonts w:ascii="Calibri" w:hAnsi="Calibri"/>
    </w:rPr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5"/>
    <w:qFormat/>
    <w:rPr>
      <w:kern w:val="2"/>
      <w:sz w:val="18"/>
      <w:szCs w:val="18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0">
    <w:name w:val="Char"/>
    <w:basedOn w:val="a"/>
    <w:qFormat/>
    <w:pPr>
      <w:tabs>
        <w:tab w:val="left" w:pos="420"/>
      </w:tabs>
      <w:ind w:left="420" w:hanging="420"/>
    </w:pPr>
    <w:rPr>
      <w:rFonts w:ascii="宋体" w:eastAsia="仿宋_GB2312" w:hAnsi="宋体"/>
      <w:spacing w:val="6"/>
      <w:sz w:val="30"/>
      <w:szCs w:val="20"/>
    </w:rPr>
  </w:style>
  <w:style w:type="paragraph" w:customStyle="1" w:styleId="CharCharChar1CharCharCharCharCharCharCharCharCharCharCharCharCharCharCharCharCharCharChar1">
    <w:name w:val="Char Char Char1 Char Char Char Char Char Char Char Char Char Char Char Char Char Char Char Char Char Char Char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CharCharCharChar1CharCharChar1CharCharCharCharCharCharCharCharCharChar">
    <w:name w:val="Char Char Char Char Char Char Char Char1 Char Char Char1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b">
    <w:name w:val="各章标题"/>
    <w:basedOn w:val="a"/>
    <w:qFormat/>
    <w:pPr>
      <w:widowControl/>
      <w:spacing w:after="160" w:line="240" w:lineRule="exact"/>
      <w:jc w:val="left"/>
    </w:pPr>
    <w:rPr>
      <w:rFonts w:ascii="Cambria" w:hAnsi="Cambria"/>
      <w:kern w:val="0"/>
      <w:sz w:val="22"/>
      <w:szCs w:val="20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  <w:textAlignment w:val="baseline"/>
    </w:pPr>
    <w:rPr>
      <w:rFonts w:ascii="Calibri" w:hAnsi="Calibri"/>
    </w:rPr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5"/>
    <w:qFormat/>
    <w:rPr>
      <w:kern w:val="2"/>
      <w:sz w:val="18"/>
      <w:szCs w:val="18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0">
    <w:name w:val="Char"/>
    <w:basedOn w:val="a"/>
    <w:qFormat/>
    <w:pPr>
      <w:tabs>
        <w:tab w:val="left" w:pos="420"/>
      </w:tabs>
      <w:ind w:left="420" w:hanging="420"/>
    </w:pPr>
    <w:rPr>
      <w:rFonts w:ascii="宋体" w:eastAsia="仿宋_GB2312" w:hAnsi="宋体"/>
      <w:spacing w:val="6"/>
      <w:sz w:val="30"/>
      <w:szCs w:val="20"/>
    </w:rPr>
  </w:style>
  <w:style w:type="paragraph" w:customStyle="1" w:styleId="CharCharChar1CharCharCharCharCharCharCharCharCharCharCharCharCharCharCharCharCharCharChar1">
    <w:name w:val="Char Char Char1 Char Char Char Char Char Char Char Char Char Char Char Char Char Char Char Char Char Char Char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CharCharCharCharCharCharChar1CharCharChar1CharCharCharCharCharCharCharCharCharChar">
    <w:name w:val="Char Char Char Char Char Char Char Char1 Char Char Char1 Char Char Char 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b">
    <w:name w:val="各章标题"/>
    <w:basedOn w:val="a"/>
    <w:qFormat/>
    <w:pPr>
      <w:widowControl/>
      <w:spacing w:after="160" w:line="240" w:lineRule="exact"/>
      <w:jc w:val="left"/>
    </w:pPr>
    <w:rPr>
      <w:rFonts w:ascii="Cambria" w:hAnsi="Cambria"/>
      <w:kern w:val="0"/>
      <w:sz w:val="22"/>
      <w:szCs w:val="20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572</Words>
  <Characters>3261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PC</cp:lastModifiedBy>
  <cp:revision>17</cp:revision>
  <cp:lastPrinted>2023-02-21T19:16:00Z</cp:lastPrinted>
  <dcterms:created xsi:type="dcterms:W3CDTF">2022-02-17T17:42:00Z</dcterms:created>
  <dcterms:modified xsi:type="dcterms:W3CDTF">2023-02-23T00:34:00Z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